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6067" w14:textId="77777777" w:rsidR="00B84D06" w:rsidRDefault="00B84D06">
      <w:pPr>
        <w:pStyle w:val="BodyText"/>
        <w:rPr>
          <w:rFonts w:ascii="Times New Roman"/>
          <w:sz w:val="20"/>
        </w:rPr>
      </w:pPr>
    </w:p>
    <w:p w14:paraId="37F83D0A" w14:textId="77777777" w:rsidR="00B84D06" w:rsidRDefault="00B84D06">
      <w:pPr>
        <w:pStyle w:val="BodyText"/>
        <w:rPr>
          <w:rFonts w:ascii="Times New Roman"/>
          <w:sz w:val="20"/>
        </w:rPr>
      </w:pPr>
    </w:p>
    <w:p w14:paraId="494A7882" w14:textId="77777777" w:rsidR="00B84D06" w:rsidRDefault="00B84D06">
      <w:pPr>
        <w:pStyle w:val="BodyText"/>
        <w:rPr>
          <w:rFonts w:ascii="Times New Roman"/>
          <w:sz w:val="20"/>
        </w:rPr>
      </w:pPr>
    </w:p>
    <w:p w14:paraId="48FDDED4" w14:textId="77777777" w:rsidR="00B84D06" w:rsidRDefault="00B84D06">
      <w:pPr>
        <w:pStyle w:val="BodyText"/>
        <w:rPr>
          <w:rFonts w:ascii="Times New Roman"/>
          <w:sz w:val="20"/>
        </w:rPr>
      </w:pPr>
    </w:p>
    <w:p w14:paraId="4E5A4F6B" w14:textId="77777777" w:rsidR="00B84D06" w:rsidRDefault="00B84D06">
      <w:pPr>
        <w:pStyle w:val="BodyText"/>
        <w:rPr>
          <w:rFonts w:ascii="Times New Roman"/>
          <w:sz w:val="20"/>
        </w:rPr>
      </w:pPr>
    </w:p>
    <w:p w14:paraId="79A5A4FE" w14:textId="77777777" w:rsidR="00B84D06" w:rsidRDefault="00B84D06">
      <w:pPr>
        <w:pStyle w:val="BodyText"/>
        <w:rPr>
          <w:rFonts w:ascii="Times New Roman"/>
          <w:sz w:val="20"/>
        </w:rPr>
      </w:pPr>
    </w:p>
    <w:p w14:paraId="62B79E68" w14:textId="465774F6" w:rsidR="00B84D06" w:rsidRDefault="00347544" w:rsidP="00347544">
      <w:pPr>
        <w:pStyle w:val="BodyText"/>
        <w:jc w:val="center"/>
        <w:rPr>
          <w:rFonts w:ascii="Times New Roman"/>
          <w:sz w:val="20"/>
        </w:rPr>
      </w:pPr>
      <w:r>
        <w:rPr>
          <w:noProof/>
        </w:rPr>
        <w:drawing>
          <wp:inline distT="0" distB="0" distL="0" distR="0" wp14:anchorId="242ED1B1" wp14:editId="4E029FF4">
            <wp:extent cx="1562100" cy="590550"/>
            <wp:effectExtent l="0" t="0" r="0" b="0"/>
            <wp:docPr id="144744619" name="Picture 14474461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619" name="Picture 144744619" descr="A picture containing text, clip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562100" cy="590550"/>
                    </a:xfrm>
                    <a:prstGeom prst="rect">
                      <a:avLst/>
                    </a:prstGeom>
                  </pic:spPr>
                </pic:pic>
              </a:graphicData>
            </a:graphic>
          </wp:inline>
        </w:drawing>
      </w:r>
    </w:p>
    <w:p w14:paraId="3944D89E" w14:textId="77777777" w:rsidR="00B84D06" w:rsidRDefault="00B84D06">
      <w:pPr>
        <w:pStyle w:val="BodyText"/>
        <w:spacing w:before="7"/>
        <w:rPr>
          <w:rFonts w:ascii="Times New Roman"/>
          <w:sz w:val="19"/>
        </w:rPr>
      </w:pPr>
    </w:p>
    <w:p w14:paraId="21370143" w14:textId="12FE7835" w:rsidR="00B84D06" w:rsidRDefault="00B84D06">
      <w:pPr>
        <w:pStyle w:val="BodyText"/>
        <w:ind w:left="2925"/>
        <w:rPr>
          <w:rFonts w:ascii="Times New Roman"/>
          <w:noProof/>
          <w:sz w:val="20"/>
        </w:rPr>
      </w:pPr>
    </w:p>
    <w:p w14:paraId="47563563" w14:textId="2938CF62" w:rsidR="00347544" w:rsidRDefault="00347544">
      <w:pPr>
        <w:pStyle w:val="BodyText"/>
        <w:ind w:left="2925"/>
        <w:rPr>
          <w:rFonts w:ascii="Times New Roman"/>
          <w:noProof/>
          <w:sz w:val="20"/>
        </w:rPr>
      </w:pPr>
    </w:p>
    <w:p w14:paraId="0378AE35" w14:textId="77777777" w:rsidR="00347544" w:rsidRDefault="00347544">
      <w:pPr>
        <w:pStyle w:val="BodyText"/>
        <w:ind w:left="2925"/>
        <w:rPr>
          <w:rFonts w:ascii="Times New Roman"/>
          <w:sz w:val="20"/>
        </w:rPr>
      </w:pPr>
    </w:p>
    <w:p w14:paraId="56383557" w14:textId="77777777" w:rsidR="00B84D06" w:rsidRDefault="00A75683">
      <w:pPr>
        <w:pStyle w:val="Heading1"/>
        <w:ind w:right="2125"/>
      </w:pPr>
      <w:bookmarkStart w:id="0" w:name="University_of_the_Highlands_and_Islands"/>
      <w:bookmarkEnd w:id="0"/>
      <w:r>
        <w:t>University of the Highlands and Islands</w:t>
      </w:r>
    </w:p>
    <w:p w14:paraId="456327D1" w14:textId="77777777" w:rsidR="00B84D06" w:rsidRDefault="00B84D06">
      <w:pPr>
        <w:pStyle w:val="BodyText"/>
        <w:spacing w:before="2"/>
        <w:rPr>
          <w:sz w:val="35"/>
        </w:rPr>
      </w:pPr>
    </w:p>
    <w:p w14:paraId="07FB5545" w14:textId="77777777" w:rsidR="00B84D06" w:rsidRDefault="00A75683">
      <w:pPr>
        <w:ind w:left="2124" w:right="2133"/>
        <w:jc w:val="center"/>
        <w:rPr>
          <w:rFonts w:ascii="Calibri Light"/>
          <w:sz w:val="56"/>
        </w:rPr>
      </w:pPr>
      <w:r>
        <w:rPr>
          <w:rFonts w:ascii="Calibri Light"/>
          <w:sz w:val="56"/>
        </w:rPr>
        <w:t>Risk Management Policy</w:t>
      </w:r>
    </w:p>
    <w:p w14:paraId="5002F176" w14:textId="77777777" w:rsidR="00B84D06" w:rsidRDefault="00B84D06">
      <w:pPr>
        <w:pStyle w:val="BodyText"/>
        <w:rPr>
          <w:rFonts w:ascii="Calibri Light"/>
          <w:sz w:val="20"/>
        </w:rPr>
      </w:pPr>
    </w:p>
    <w:p w14:paraId="1BF61AF4" w14:textId="3DDCBDA0" w:rsidR="00B84D06" w:rsidRDefault="00B84D06">
      <w:pPr>
        <w:pStyle w:val="BodyText"/>
        <w:spacing w:before="3"/>
        <w:rPr>
          <w:rFonts w:ascii="Calibri Light"/>
          <w:sz w:val="17"/>
        </w:rPr>
      </w:pPr>
    </w:p>
    <w:p w14:paraId="4B74C95F" w14:textId="77777777" w:rsidR="00B84D06" w:rsidRDefault="00A75683">
      <w:pPr>
        <w:pStyle w:val="Heading1"/>
        <w:spacing w:before="421"/>
        <w:rPr>
          <w:rFonts w:ascii="Calibri Light"/>
        </w:rPr>
      </w:pPr>
      <w:bookmarkStart w:id="1" w:name="POL063"/>
      <w:bookmarkEnd w:id="1"/>
      <w:r>
        <w:rPr>
          <w:rFonts w:ascii="Calibri Light"/>
        </w:rPr>
        <w:t>POL063</w:t>
      </w:r>
    </w:p>
    <w:p w14:paraId="5A5E2D55" w14:textId="77777777" w:rsidR="00B84D06" w:rsidRDefault="00B84D06">
      <w:pPr>
        <w:pStyle w:val="BodyText"/>
        <w:rPr>
          <w:rFonts w:ascii="Calibri Light"/>
          <w:sz w:val="20"/>
        </w:rPr>
      </w:pPr>
    </w:p>
    <w:p w14:paraId="69FDFE54" w14:textId="77777777" w:rsidR="00B84D06" w:rsidRDefault="00B84D06">
      <w:pPr>
        <w:pStyle w:val="BodyText"/>
        <w:spacing w:before="10"/>
        <w:rPr>
          <w:rFonts w:ascii="Calibri Light"/>
          <w:sz w:val="16"/>
        </w:rPr>
      </w:pP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2"/>
        <w:gridCol w:w="5336"/>
      </w:tblGrid>
      <w:tr w:rsidR="00B84D06" w14:paraId="0333C1BD" w14:textId="77777777">
        <w:trPr>
          <w:trHeight w:val="450"/>
        </w:trPr>
        <w:tc>
          <w:tcPr>
            <w:tcW w:w="3682" w:type="dxa"/>
            <w:shd w:val="clear" w:color="auto" w:fill="F2F2F2"/>
          </w:tcPr>
          <w:p w14:paraId="5012BE4C" w14:textId="77777777" w:rsidR="00B84D06" w:rsidRDefault="00A75683">
            <w:pPr>
              <w:pStyle w:val="TableParagraph"/>
              <w:spacing w:before="37"/>
            </w:pPr>
            <w:r>
              <w:t>Lead Officer (Post):</w:t>
            </w:r>
          </w:p>
        </w:tc>
        <w:tc>
          <w:tcPr>
            <w:tcW w:w="5336" w:type="dxa"/>
          </w:tcPr>
          <w:p w14:paraId="7A1B4505" w14:textId="3D450A3E" w:rsidR="00B84D06" w:rsidRDefault="00347544">
            <w:pPr>
              <w:pStyle w:val="TableParagraph"/>
              <w:spacing w:before="4"/>
            </w:pPr>
            <w:r>
              <w:t>University</w:t>
            </w:r>
            <w:r w:rsidR="00A75683">
              <w:t xml:space="preserve"> Secretary</w:t>
            </w:r>
          </w:p>
        </w:tc>
      </w:tr>
      <w:tr w:rsidR="00B84D06" w14:paraId="3211D04E" w14:textId="77777777">
        <w:trPr>
          <w:trHeight w:val="450"/>
        </w:trPr>
        <w:tc>
          <w:tcPr>
            <w:tcW w:w="3682" w:type="dxa"/>
            <w:shd w:val="clear" w:color="auto" w:fill="F2F2F2"/>
          </w:tcPr>
          <w:p w14:paraId="739C18F1" w14:textId="77777777" w:rsidR="00B84D06" w:rsidRDefault="00A75683">
            <w:pPr>
              <w:pStyle w:val="TableParagraph"/>
              <w:spacing w:before="35"/>
            </w:pPr>
            <w:r>
              <w:t>Responsible Office/ Department:</w:t>
            </w:r>
          </w:p>
        </w:tc>
        <w:tc>
          <w:tcPr>
            <w:tcW w:w="5336" w:type="dxa"/>
          </w:tcPr>
          <w:p w14:paraId="4675D8FA" w14:textId="1CA6B07C" w:rsidR="00B84D06" w:rsidRDefault="00347544">
            <w:pPr>
              <w:pStyle w:val="TableParagraph"/>
              <w:spacing w:before="1"/>
            </w:pPr>
            <w:r>
              <w:t>Governance and Records Management</w:t>
            </w:r>
          </w:p>
        </w:tc>
      </w:tr>
      <w:tr w:rsidR="00B84D06" w14:paraId="54FD23A8" w14:textId="77777777">
        <w:trPr>
          <w:trHeight w:val="448"/>
        </w:trPr>
        <w:tc>
          <w:tcPr>
            <w:tcW w:w="3682" w:type="dxa"/>
            <w:shd w:val="clear" w:color="auto" w:fill="F2F2F2"/>
          </w:tcPr>
          <w:p w14:paraId="7070FFDF" w14:textId="77777777" w:rsidR="00B84D06" w:rsidRDefault="00A75683">
            <w:pPr>
              <w:pStyle w:val="TableParagraph"/>
              <w:spacing w:before="35"/>
            </w:pPr>
            <w:r>
              <w:t>Responsible Committee:</w:t>
            </w:r>
          </w:p>
        </w:tc>
        <w:tc>
          <w:tcPr>
            <w:tcW w:w="5336" w:type="dxa"/>
          </w:tcPr>
          <w:p w14:paraId="3A150F6A" w14:textId="77777777" w:rsidR="00B84D06" w:rsidRDefault="00A75683">
            <w:pPr>
              <w:pStyle w:val="TableParagraph"/>
              <w:spacing w:before="1"/>
            </w:pPr>
            <w:r>
              <w:t>Finance and General Purposes Committee</w:t>
            </w:r>
          </w:p>
        </w:tc>
      </w:tr>
      <w:tr w:rsidR="00B84D06" w14:paraId="7BF6D0B4" w14:textId="77777777">
        <w:trPr>
          <w:trHeight w:val="450"/>
        </w:trPr>
        <w:tc>
          <w:tcPr>
            <w:tcW w:w="3682" w:type="dxa"/>
            <w:shd w:val="clear" w:color="auto" w:fill="F2F2F2"/>
          </w:tcPr>
          <w:p w14:paraId="0E4DCF2F" w14:textId="77777777" w:rsidR="00B84D06" w:rsidRDefault="00A75683">
            <w:pPr>
              <w:pStyle w:val="TableParagraph"/>
              <w:spacing w:before="35"/>
            </w:pPr>
            <w:r>
              <w:t>Review Officer (Post):</w:t>
            </w:r>
          </w:p>
        </w:tc>
        <w:tc>
          <w:tcPr>
            <w:tcW w:w="5336" w:type="dxa"/>
          </w:tcPr>
          <w:p w14:paraId="5A11E7CF" w14:textId="4441DBFF" w:rsidR="00B84D06" w:rsidRDefault="00944121">
            <w:pPr>
              <w:pStyle w:val="TableParagraph"/>
              <w:spacing w:before="1"/>
            </w:pPr>
            <w:r>
              <w:t>Head of Policy Assurance &amp; Compliance (Governance)</w:t>
            </w:r>
          </w:p>
        </w:tc>
      </w:tr>
      <w:tr w:rsidR="00B84D06" w14:paraId="339FBFB7" w14:textId="77777777">
        <w:trPr>
          <w:trHeight w:val="448"/>
        </w:trPr>
        <w:tc>
          <w:tcPr>
            <w:tcW w:w="3682" w:type="dxa"/>
            <w:shd w:val="clear" w:color="auto" w:fill="F2F2F2"/>
          </w:tcPr>
          <w:p w14:paraId="46B187CB" w14:textId="77777777" w:rsidR="00B84D06" w:rsidRDefault="00A75683">
            <w:pPr>
              <w:pStyle w:val="TableParagraph"/>
              <w:spacing w:before="35"/>
            </w:pPr>
            <w:r>
              <w:t>Date policy approved:</w:t>
            </w:r>
          </w:p>
        </w:tc>
        <w:tc>
          <w:tcPr>
            <w:tcW w:w="5336" w:type="dxa"/>
          </w:tcPr>
          <w:p w14:paraId="23B36112" w14:textId="77777777" w:rsidR="00B84D06" w:rsidRDefault="00A75683">
            <w:pPr>
              <w:pStyle w:val="TableParagraph"/>
              <w:spacing w:before="1"/>
            </w:pPr>
            <w:r>
              <w:t>16/12/2015</w:t>
            </w:r>
          </w:p>
        </w:tc>
      </w:tr>
      <w:tr w:rsidR="00B84D06" w14:paraId="0B1E8857" w14:textId="77777777">
        <w:trPr>
          <w:trHeight w:val="450"/>
        </w:trPr>
        <w:tc>
          <w:tcPr>
            <w:tcW w:w="3682" w:type="dxa"/>
            <w:shd w:val="clear" w:color="auto" w:fill="F2F2F2"/>
          </w:tcPr>
          <w:p w14:paraId="128A9099" w14:textId="77777777" w:rsidR="00B84D06" w:rsidRDefault="00A75683">
            <w:pPr>
              <w:pStyle w:val="TableParagraph"/>
              <w:spacing w:before="37"/>
            </w:pPr>
            <w:r>
              <w:t>Date policy last reviewed and updated:</w:t>
            </w:r>
          </w:p>
        </w:tc>
        <w:tc>
          <w:tcPr>
            <w:tcW w:w="5336" w:type="dxa"/>
          </w:tcPr>
          <w:p w14:paraId="68D9EB23" w14:textId="6304B9BB" w:rsidR="00B84D06" w:rsidRDefault="00D42E04">
            <w:pPr>
              <w:pStyle w:val="TableParagraph"/>
              <w:spacing w:before="4"/>
            </w:pPr>
            <w:r>
              <w:t>18/08/2026</w:t>
            </w:r>
          </w:p>
        </w:tc>
      </w:tr>
      <w:tr w:rsidR="00B84D06" w14:paraId="6FFCAECA" w14:textId="77777777">
        <w:trPr>
          <w:trHeight w:val="450"/>
        </w:trPr>
        <w:tc>
          <w:tcPr>
            <w:tcW w:w="3682" w:type="dxa"/>
            <w:shd w:val="clear" w:color="auto" w:fill="F2F2F2"/>
          </w:tcPr>
          <w:p w14:paraId="2D61374A" w14:textId="77777777" w:rsidR="00B84D06" w:rsidRDefault="00A75683">
            <w:pPr>
              <w:pStyle w:val="TableParagraph"/>
              <w:spacing w:before="35"/>
            </w:pPr>
            <w:r>
              <w:t>Date policy due for review:</w:t>
            </w:r>
          </w:p>
        </w:tc>
        <w:tc>
          <w:tcPr>
            <w:tcW w:w="5336" w:type="dxa"/>
          </w:tcPr>
          <w:p w14:paraId="0592E8E1" w14:textId="6FFC8052" w:rsidR="00B84D06" w:rsidRDefault="00D42E04">
            <w:pPr>
              <w:pStyle w:val="TableParagraph"/>
              <w:spacing w:before="1"/>
            </w:pPr>
            <w:r>
              <w:t>18/08/202</w:t>
            </w:r>
            <w:r w:rsidR="00886B0B">
              <w:t>9</w:t>
            </w:r>
          </w:p>
        </w:tc>
      </w:tr>
      <w:tr w:rsidR="00B84D06" w14:paraId="79E11794" w14:textId="77777777">
        <w:trPr>
          <w:trHeight w:val="448"/>
        </w:trPr>
        <w:tc>
          <w:tcPr>
            <w:tcW w:w="3682" w:type="dxa"/>
            <w:shd w:val="clear" w:color="auto" w:fill="F2F2F2"/>
          </w:tcPr>
          <w:p w14:paraId="4BCA7E48" w14:textId="77777777" w:rsidR="00B84D06" w:rsidRDefault="00A75683">
            <w:pPr>
              <w:pStyle w:val="TableParagraph"/>
              <w:spacing w:before="1"/>
            </w:pPr>
            <w:r>
              <w:t>Date of Equality Impact Assessment:</w:t>
            </w:r>
          </w:p>
        </w:tc>
        <w:tc>
          <w:tcPr>
            <w:tcW w:w="5336" w:type="dxa"/>
          </w:tcPr>
          <w:p w14:paraId="325B7696" w14:textId="22F9D884" w:rsidR="00B84D06" w:rsidRDefault="00A75683">
            <w:pPr>
              <w:pStyle w:val="TableParagraph"/>
              <w:spacing w:before="1"/>
            </w:pPr>
            <w:r>
              <w:t>13/02/2017</w:t>
            </w:r>
            <w:r w:rsidR="00362AD6">
              <w:t>; Last reviewed 18/08/2026</w:t>
            </w:r>
          </w:p>
        </w:tc>
      </w:tr>
      <w:tr w:rsidR="00B84D06" w14:paraId="058BA6BF" w14:textId="77777777">
        <w:trPr>
          <w:trHeight w:val="450"/>
        </w:trPr>
        <w:tc>
          <w:tcPr>
            <w:tcW w:w="3682" w:type="dxa"/>
            <w:shd w:val="clear" w:color="auto" w:fill="F2F2F2"/>
          </w:tcPr>
          <w:p w14:paraId="4B5286B8" w14:textId="77777777" w:rsidR="00B84D06" w:rsidRDefault="00A75683">
            <w:pPr>
              <w:pStyle w:val="TableParagraph"/>
              <w:spacing w:before="1"/>
            </w:pPr>
            <w:r>
              <w:t>Date of Privacy Impact Assessment:</w:t>
            </w:r>
          </w:p>
        </w:tc>
        <w:tc>
          <w:tcPr>
            <w:tcW w:w="5336" w:type="dxa"/>
          </w:tcPr>
          <w:p w14:paraId="380727B9" w14:textId="77777777" w:rsidR="00B84D06" w:rsidRDefault="00A75683">
            <w:pPr>
              <w:pStyle w:val="TableParagraph"/>
              <w:spacing w:before="1"/>
            </w:pPr>
            <w:r>
              <w:t>Not required.</w:t>
            </w:r>
          </w:p>
        </w:tc>
      </w:tr>
    </w:tbl>
    <w:p w14:paraId="5988AC40" w14:textId="77777777" w:rsidR="00B84D06" w:rsidRDefault="00B84D06">
      <w:pPr>
        <w:pStyle w:val="BodyText"/>
        <w:rPr>
          <w:rFonts w:ascii="Calibri Light"/>
          <w:sz w:val="20"/>
        </w:rPr>
      </w:pPr>
    </w:p>
    <w:p w14:paraId="6B44FC4C" w14:textId="5863892D" w:rsidR="00B84D06" w:rsidRDefault="00B84D06">
      <w:pPr>
        <w:pStyle w:val="BodyText"/>
        <w:spacing w:before="1"/>
        <w:rPr>
          <w:rFonts w:ascii="Calibri Light"/>
          <w:sz w:val="20"/>
        </w:rPr>
      </w:pPr>
    </w:p>
    <w:p w14:paraId="508FE2C6" w14:textId="77777777" w:rsidR="00B84D06" w:rsidRDefault="00B84D06">
      <w:pPr>
        <w:rPr>
          <w:rFonts w:ascii="Calibri Light"/>
          <w:sz w:val="20"/>
        </w:rPr>
        <w:sectPr w:rsidR="00B84D06">
          <w:headerReference w:type="default" r:id="rId12"/>
          <w:footerReference w:type="default" r:id="rId13"/>
          <w:type w:val="continuous"/>
          <w:pgSz w:w="11930" w:h="16860"/>
          <w:pgMar w:top="1040" w:right="1080" w:bottom="1560" w:left="1080" w:header="626" w:footer="1376" w:gutter="0"/>
          <w:pgNumType w:start="1"/>
          <w:cols w:space="720"/>
        </w:sectPr>
      </w:pPr>
    </w:p>
    <w:p w14:paraId="3AFBA6D0" w14:textId="77777777" w:rsidR="00B84D06" w:rsidRDefault="00A75683">
      <w:pPr>
        <w:spacing w:before="47"/>
        <w:ind w:left="2124" w:right="2132"/>
        <w:jc w:val="center"/>
        <w:rPr>
          <w:rFonts w:ascii="Calibri Light"/>
          <w:sz w:val="32"/>
        </w:rPr>
      </w:pPr>
      <w:bookmarkStart w:id="2" w:name="Policy_Summary"/>
      <w:bookmarkEnd w:id="2"/>
      <w:r>
        <w:rPr>
          <w:rFonts w:ascii="Calibri Light"/>
          <w:sz w:val="32"/>
          <w:u w:val="single"/>
        </w:rPr>
        <w:lastRenderedPageBreak/>
        <w:t>Policy Summary</w:t>
      </w:r>
    </w:p>
    <w:p w14:paraId="633B4E14" w14:textId="77777777" w:rsidR="00B84D06" w:rsidRDefault="00B84D06">
      <w:pPr>
        <w:pStyle w:val="BodyText"/>
        <w:spacing w:before="10" w:after="1"/>
        <w:rPr>
          <w:rFonts w:ascii="Calibri Light"/>
          <w:sz w:val="19"/>
        </w:rPr>
      </w:pPr>
    </w:p>
    <w:tbl>
      <w:tblPr>
        <w:tblW w:w="0" w:type="auto"/>
        <w:tblInd w:w="2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0"/>
        <w:gridCol w:w="6968"/>
      </w:tblGrid>
      <w:tr w:rsidR="00B84D06" w14:paraId="471A1710" w14:textId="77777777">
        <w:trPr>
          <w:trHeight w:val="2642"/>
        </w:trPr>
        <w:tc>
          <w:tcPr>
            <w:tcW w:w="2050" w:type="dxa"/>
            <w:tcBorders>
              <w:bottom w:val="single" w:sz="4" w:space="0" w:color="818181"/>
            </w:tcBorders>
            <w:shd w:val="clear" w:color="auto" w:fill="F2F2F2"/>
          </w:tcPr>
          <w:p w14:paraId="752F5145" w14:textId="77777777" w:rsidR="00B84D06" w:rsidRDefault="00B84D06">
            <w:pPr>
              <w:pStyle w:val="TableParagraph"/>
              <w:ind w:left="0"/>
            </w:pPr>
          </w:p>
          <w:p w14:paraId="334DB582" w14:textId="77777777" w:rsidR="00B84D06" w:rsidRDefault="00B84D06">
            <w:pPr>
              <w:pStyle w:val="TableParagraph"/>
              <w:ind w:left="0"/>
            </w:pPr>
          </w:p>
          <w:p w14:paraId="4739165D" w14:textId="77777777" w:rsidR="00B84D06" w:rsidRDefault="00B84D06">
            <w:pPr>
              <w:pStyle w:val="TableParagraph"/>
              <w:ind w:left="0"/>
            </w:pPr>
          </w:p>
          <w:p w14:paraId="741BDB54" w14:textId="77777777" w:rsidR="00B84D06" w:rsidRDefault="00B84D06">
            <w:pPr>
              <w:pStyle w:val="TableParagraph"/>
              <w:ind w:left="0"/>
            </w:pPr>
          </w:p>
          <w:p w14:paraId="6BBA14C8" w14:textId="77777777" w:rsidR="00B84D06" w:rsidRDefault="00B84D06">
            <w:pPr>
              <w:pStyle w:val="TableParagraph"/>
              <w:spacing w:before="3"/>
              <w:ind w:left="0"/>
              <w:rPr>
                <w:sz w:val="17"/>
              </w:rPr>
            </w:pPr>
          </w:p>
          <w:p w14:paraId="5CBC32D1" w14:textId="77777777" w:rsidR="00B84D06" w:rsidRDefault="00A75683">
            <w:pPr>
              <w:pStyle w:val="TableParagraph"/>
              <w:ind w:left="206" w:right="193"/>
              <w:jc w:val="center"/>
              <w:rPr>
                <w:rFonts w:ascii="Calibri"/>
              </w:rPr>
            </w:pPr>
            <w:r>
              <w:rPr>
                <w:rFonts w:ascii="Calibri"/>
              </w:rPr>
              <w:t>Overview</w:t>
            </w:r>
          </w:p>
        </w:tc>
        <w:tc>
          <w:tcPr>
            <w:tcW w:w="6968" w:type="dxa"/>
            <w:tcBorders>
              <w:bottom w:val="single" w:sz="4" w:space="0" w:color="818181"/>
            </w:tcBorders>
          </w:tcPr>
          <w:p w14:paraId="3AF66700" w14:textId="77777777" w:rsidR="00B84D06" w:rsidRDefault="00B84D06">
            <w:pPr>
              <w:pStyle w:val="TableParagraph"/>
              <w:spacing w:before="7"/>
              <w:ind w:left="0"/>
              <w:rPr>
                <w:sz w:val="19"/>
              </w:rPr>
            </w:pPr>
          </w:p>
          <w:p w14:paraId="19DA3422" w14:textId="77777777" w:rsidR="00B84D06" w:rsidRDefault="00A75683">
            <w:pPr>
              <w:pStyle w:val="TableParagraph"/>
              <w:spacing w:line="276" w:lineRule="auto"/>
              <w:ind w:left="104" w:right="92"/>
            </w:pPr>
            <w:r>
              <w:t>Risk is inherent in all activity. Risk management is important to ensure that all significant, relevant risks are understood and prioritised as part of normal management practices. Information on risk must be organised in a way that is useful for management purposes and enables decisions to be taken based on the knowledge of risk versus reward.</w:t>
            </w:r>
          </w:p>
          <w:p w14:paraId="630EBA9D" w14:textId="77777777" w:rsidR="00B84D06" w:rsidRDefault="00A75683">
            <w:pPr>
              <w:pStyle w:val="TableParagraph"/>
              <w:spacing w:before="195" w:line="310" w:lineRule="atLeast"/>
              <w:ind w:left="104" w:right="544"/>
            </w:pPr>
            <w:r>
              <w:t>Identification and management of risk on a consistent, appropriate and timeous basis is a requirement of SFC.</w:t>
            </w:r>
          </w:p>
        </w:tc>
      </w:tr>
      <w:tr w:rsidR="00B84D06" w14:paraId="22E3CBD8" w14:textId="77777777">
        <w:trPr>
          <w:trHeight w:val="1166"/>
        </w:trPr>
        <w:tc>
          <w:tcPr>
            <w:tcW w:w="2050" w:type="dxa"/>
            <w:tcBorders>
              <w:top w:val="single" w:sz="4" w:space="0" w:color="818181"/>
            </w:tcBorders>
            <w:shd w:val="clear" w:color="auto" w:fill="F2F2F2"/>
          </w:tcPr>
          <w:p w14:paraId="4EF3AE95" w14:textId="77777777" w:rsidR="00B84D06" w:rsidRDefault="00B84D06">
            <w:pPr>
              <w:pStyle w:val="TableParagraph"/>
              <w:ind w:left="0"/>
            </w:pPr>
          </w:p>
          <w:p w14:paraId="757D67F0" w14:textId="77777777" w:rsidR="00B84D06" w:rsidRDefault="00B84D06">
            <w:pPr>
              <w:pStyle w:val="TableParagraph"/>
              <w:spacing w:before="6"/>
              <w:ind w:left="0"/>
            </w:pPr>
          </w:p>
          <w:p w14:paraId="67094BE9" w14:textId="77777777" w:rsidR="00B84D06" w:rsidRDefault="00A75683">
            <w:pPr>
              <w:pStyle w:val="TableParagraph"/>
              <w:spacing w:before="1"/>
              <w:ind w:left="206" w:right="193"/>
              <w:jc w:val="center"/>
              <w:rPr>
                <w:rFonts w:ascii="Calibri"/>
              </w:rPr>
            </w:pPr>
            <w:r>
              <w:rPr>
                <w:rFonts w:ascii="Calibri"/>
              </w:rPr>
              <w:t>Purpose</w:t>
            </w:r>
          </w:p>
        </w:tc>
        <w:tc>
          <w:tcPr>
            <w:tcW w:w="6968" w:type="dxa"/>
            <w:tcBorders>
              <w:top w:val="single" w:sz="4" w:space="0" w:color="818181"/>
            </w:tcBorders>
          </w:tcPr>
          <w:p w14:paraId="6AB20EDF" w14:textId="77777777" w:rsidR="00B84D06" w:rsidRDefault="00B84D06">
            <w:pPr>
              <w:pStyle w:val="TableParagraph"/>
              <w:spacing w:before="7"/>
              <w:ind w:left="0"/>
              <w:rPr>
                <w:sz w:val="19"/>
              </w:rPr>
            </w:pPr>
          </w:p>
          <w:p w14:paraId="4BF16A10" w14:textId="77777777" w:rsidR="00B84D06" w:rsidRDefault="00A75683">
            <w:pPr>
              <w:pStyle w:val="TableParagraph"/>
              <w:spacing w:line="273" w:lineRule="auto"/>
              <w:ind w:left="104" w:right="109"/>
            </w:pPr>
            <w:r>
              <w:t>This policy forms part of the University of the Highlands and Islands’ governance arrangements. A review of the implementation of the policy will</w:t>
            </w:r>
          </w:p>
          <w:p w14:paraId="077EB49E" w14:textId="77777777" w:rsidR="00B84D06" w:rsidRDefault="00A75683">
            <w:pPr>
              <w:pStyle w:val="TableParagraph"/>
              <w:spacing w:before="4"/>
              <w:ind w:left="104"/>
            </w:pPr>
            <w:r>
              <w:t>inform the planning of internal audit work on an annual basis.</w:t>
            </w:r>
          </w:p>
        </w:tc>
      </w:tr>
      <w:tr w:rsidR="00B84D06" w14:paraId="5540920B" w14:textId="77777777">
        <w:trPr>
          <w:trHeight w:val="2401"/>
        </w:trPr>
        <w:tc>
          <w:tcPr>
            <w:tcW w:w="2050" w:type="dxa"/>
            <w:shd w:val="clear" w:color="auto" w:fill="F2F2F2"/>
          </w:tcPr>
          <w:p w14:paraId="180FEB06" w14:textId="77777777" w:rsidR="00B84D06" w:rsidRDefault="00B84D06">
            <w:pPr>
              <w:pStyle w:val="TableParagraph"/>
              <w:ind w:left="0"/>
            </w:pPr>
          </w:p>
          <w:p w14:paraId="35B7F895" w14:textId="77777777" w:rsidR="00B84D06" w:rsidRDefault="00B84D06">
            <w:pPr>
              <w:pStyle w:val="TableParagraph"/>
              <w:ind w:left="0"/>
            </w:pPr>
          </w:p>
          <w:p w14:paraId="6DC836D4" w14:textId="77777777" w:rsidR="00B84D06" w:rsidRDefault="00B84D06">
            <w:pPr>
              <w:pStyle w:val="TableParagraph"/>
              <w:ind w:left="0"/>
            </w:pPr>
          </w:p>
          <w:p w14:paraId="34EC66E4" w14:textId="77777777" w:rsidR="00B84D06" w:rsidRDefault="00B84D06">
            <w:pPr>
              <w:pStyle w:val="TableParagraph"/>
              <w:spacing w:before="5"/>
              <w:ind w:left="0"/>
              <w:rPr>
                <w:sz w:val="29"/>
              </w:rPr>
            </w:pPr>
          </w:p>
          <w:p w14:paraId="6C3406AD" w14:textId="77777777" w:rsidR="00B84D06" w:rsidRDefault="00A75683">
            <w:pPr>
              <w:pStyle w:val="TableParagraph"/>
              <w:spacing w:before="1"/>
              <w:ind w:left="206" w:right="193"/>
              <w:jc w:val="center"/>
              <w:rPr>
                <w:rFonts w:ascii="Calibri"/>
              </w:rPr>
            </w:pPr>
            <w:r>
              <w:rPr>
                <w:rFonts w:ascii="Calibri"/>
              </w:rPr>
              <w:t>Scope</w:t>
            </w:r>
          </w:p>
        </w:tc>
        <w:tc>
          <w:tcPr>
            <w:tcW w:w="6968" w:type="dxa"/>
          </w:tcPr>
          <w:p w14:paraId="22F1107D" w14:textId="77777777" w:rsidR="00B84D06" w:rsidRDefault="00B84D06">
            <w:pPr>
              <w:pStyle w:val="TableParagraph"/>
              <w:spacing w:before="7"/>
              <w:ind w:left="0"/>
              <w:rPr>
                <w:sz w:val="19"/>
              </w:rPr>
            </w:pPr>
          </w:p>
          <w:p w14:paraId="151245C8" w14:textId="77777777" w:rsidR="00B84D06" w:rsidRDefault="00A75683">
            <w:pPr>
              <w:pStyle w:val="TableParagraph"/>
              <w:spacing w:line="276" w:lineRule="auto"/>
              <w:ind w:left="104" w:right="171"/>
            </w:pPr>
            <w:r>
              <w:t>The recognition and management of risk is the responsibility of everyone who allocates and/or uses resources so all members of staff should have an awareness of the risks of the organisation and each department should maintain their own risk register in which risks are recorded in accordance with the risk register template set out at Appendix 1 and evaluated in accordance with the criteria for determining likelihood and impact as set in</w:t>
            </w:r>
          </w:p>
          <w:p w14:paraId="790BD03C" w14:textId="77777777" w:rsidR="00B84D06" w:rsidRDefault="00A75683">
            <w:pPr>
              <w:pStyle w:val="TableParagraph"/>
              <w:spacing w:line="268" w:lineRule="exact"/>
              <w:ind w:left="105"/>
            </w:pPr>
            <w:r>
              <w:t>Appendix 2.</w:t>
            </w:r>
          </w:p>
        </w:tc>
      </w:tr>
      <w:tr w:rsidR="00B84D06" w14:paraId="14710D6A" w14:textId="77777777">
        <w:trPr>
          <w:trHeight w:val="1165"/>
        </w:trPr>
        <w:tc>
          <w:tcPr>
            <w:tcW w:w="2050" w:type="dxa"/>
            <w:shd w:val="clear" w:color="auto" w:fill="F2F2F2"/>
          </w:tcPr>
          <w:p w14:paraId="292FA0C4" w14:textId="77777777" w:rsidR="00B84D06" w:rsidRDefault="00B84D06">
            <w:pPr>
              <w:pStyle w:val="TableParagraph"/>
              <w:ind w:left="0"/>
            </w:pPr>
          </w:p>
          <w:p w14:paraId="233740D8" w14:textId="77777777" w:rsidR="00B84D06" w:rsidRDefault="00B84D06">
            <w:pPr>
              <w:pStyle w:val="TableParagraph"/>
              <w:spacing w:before="9"/>
              <w:ind w:left="0"/>
            </w:pPr>
          </w:p>
          <w:p w14:paraId="19BF5671" w14:textId="77777777" w:rsidR="00B84D06" w:rsidRDefault="00A75683">
            <w:pPr>
              <w:pStyle w:val="TableParagraph"/>
              <w:ind w:left="207" w:right="193"/>
              <w:jc w:val="center"/>
              <w:rPr>
                <w:rFonts w:ascii="Calibri"/>
              </w:rPr>
            </w:pPr>
            <w:r>
              <w:rPr>
                <w:rFonts w:ascii="Calibri"/>
              </w:rPr>
              <w:t>Consultation</w:t>
            </w:r>
          </w:p>
        </w:tc>
        <w:tc>
          <w:tcPr>
            <w:tcW w:w="6968" w:type="dxa"/>
          </w:tcPr>
          <w:p w14:paraId="5C63FAD3" w14:textId="77777777" w:rsidR="00B84D06" w:rsidRDefault="00B84D06">
            <w:pPr>
              <w:pStyle w:val="TableParagraph"/>
              <w:spacing w:before="7"/>
              <w:ind w:left="0"/>
              <w:rPr>
                <w:sz w:val="19"/>
              </w:rPr>
            </w:pPr>
          </w:p>
          <w:p w14:paraId="029A5F53" w14:textId="77777777" w:rsidR="00B84D06" w:rsidRDefault="00A75683">
            <w:pPr>
              <w:pStyle w:val="TableParagraph"/>
              <w:spacing w:line="273" w:lineRule="auto"/>
              <w:ind w:left="104" w:right="117"/>
            </w:pPr>
            <w:r>
              <w:t>The revised policy will initially be reviewed by the university’s Risk Review Group prior to consideration by the Finance &amp; General Purposes Committee</w:t>
            </w:r>
          </w:p>
          <w:p w14:paraId="7747B17D" w14:textId="77777777" w:rsidR="00B84D06" w:rsidRDefault="00A75683">
            <w:pPr>
              <w:pStyle w:val="TableParagraph"/>
              <w:spacing w:before="4"/>
              <w:ind w:left="104"/>
            </w:pPr>
            <w:r>
              <w:t>and approval being sought from the University Court.</w:t>
            </w:r>
          </w:p>
        </w:tc>
      </w:tr>
      <w:tr w:rsidR="00B84D06" w14:paraId="3A2C16C9" w14:textId="77777777">
        <w:trPr>
          <w:trHeight w:val="1785"/>
        </w:trPr>
        <w:tc>
          <w:tcPr>
            <w:tcW w:w="2050" w:type="dxa"/>
            <w:shd w:val="clear" w:color="auto" w:fill="F2F2F2"/>
          </w:tcPr>
          <w:p w14:paraId="501C4F6F" w14:textId="77777777" w:rsidR="00B84D06" w:rsidRDefault="00B84D06">
            <w:pPr>
              <w:pStyle w:val="TableParagraph"/>
              <w:ind w:left="0"/>
            </w:pPr>
          </w:p>
          <w:p w14:paraId="69202A71" w14:textId="77777777" w:rsidR="00B84D06" w:rsidRDefault="00B84D06">
            <w:pPr>
              <w:pStyle w:val="TableParagraph"/>
              <w:ind w:left="0"/>
            </w:pPr>
          </w:p>
          <w:p w14:paraId="12091815" w14:textId="77777777" w:rsidR="00B84D06" w:rsidRDefault="00A75683">
            <w:pPr>
              <w:pStyle w:val="TableParagraph"/>
              <w:spacing w:before="163" w:line="276" w:lineRule="auto"/>
              <w:ind w:left="522" w:right="177" w:hanging="322"/>
              <w:rPr>
                <w:rFonts w:ascii="Calibri"/>
              </w:rPr>
            </w:pPr>
            <w:r>
              <w:rPr>
                <w:rFonts w:ascii="Calibri"/>
              </w:rPr>
              <w:t>Implementation &amp; Monitoring</w:t>
            </w:r>
          </w:p>
        </w:tc>
        <w:tc>
          <w:tcPr>
            <w:tcW w:w="6968" w:type="dxa"/>
          </w:tcPr>
          <w:p w14:paraId="01ED87BE" w14:textId="77777777" w:rsidR="00B84D06" w:rsidRDefault="00B84D06">
            <w:pPr>
              <w:pStyle w:val="TableParagraph"/>
              <w:spacing w:before="7"/>
              <w:ind w:left="0"/>
              <w:rPr>
                <w:sz w:val="19"/>
              </w:rPr>
            </w:pPr>
          </w:p>
          <w:p w14:paraId="107D3AA6" w14:textId="77777777" w:rsidR="00B84D06" w:rsidRDefault="00A75683">
            <w:pPr>
              <w:pStyle w:val="TableParagraph"/>
              <w:spacing w:line="276" w:lineRule="auto"/>
              <w:ind w:left="104" w:right="165"/>
            </w:pPr>
            <w:r>
              <w:t>The policy will be implemented through the Senior Management Group of the University and the University’s Risk Review Groups. A report comprising the corporate/high level risk register will be presented to the Finance and General Purposes Committee and the University Court for review and</w:t>
            </w:r>
          </w:p>
          <w:p w14:paraId="2F3FB5BE" w14:textId="77777777" w:rsidR="00B84D06" w:rsidRDefault="00A75683">
            <w:pPr>
              <w:pStyle w:val="TableParagraph"/>
              <w:spacing w:line="267" w:lineRule="exact"/>
              <w:ind w:left="104"/>
            </w:pPr>
            <w:r>
              <w:t>monitoring at each meeting.</w:t>
            </w:r>
          </w:p>
        </w:tc>
      </w:tr>
      <w:tr w:rsidR="00B84D06" w14:paraId="3B8DB5D3" w14:textId="77777777">
        <w:trPr>
          <w:trHeight w:val="546"/>
        </w:trPr>
        <w:tc>
          <w:tcPr>
            <w:tcW w:w="2050" w:type="dxa"/>
            <w:shd w:val="clear" w:color="auto" w:fill="F2F2F2"/>
          </w:tcPr>
          <w:p w14:paraId="4872F1EA" w14:textId="77777777" w:rsidR="00B84D06" w:rsidRDefault="00B84D06">
            <w:pPr>
              <w:pStyle w:val="TableParagraph"/>
              <w:spacing w:before="4"/>
              <w:ind w:left="0"/>
              <w:rPr>
                <w:sz w:val="19"/>
              </w:rPr>
            </w:pPr>
          </w:p>
          <w:p w14:paraId="7CB77020" w14:textId="77777777" w:rsidR="00B84D06" w:rsidRDefault="00A75683">
            <w:pPr>
              <w:pStyle w:val="TableParagraph"/>
              <w:ind w:left="208" w:right="193"/>
              <w:jc w:val="center"/>
              <w:rPr>
                <w:rFonts w:ascii="Calibri"/>
              </w:rPr>
            </w:pPr>
            <w:r>
              <w:rPr>
                <w:rFonts w:ascii="Calibri"/>
              </w:rPr>
              <w:t>Risk Implications</w:t>
            </w:r>
          </w:p>
        </w:tc>
        <w:tc>
          <w:tcPr>
            <w:tcW w:w="6968" w:type="dxa"/>
          </w:tcPr>
          <w:p w14:paraId="24557ED4" w14:textId="77777777" w:rsidR="00B84D06" w:rsidRDefault="00B84D06">
            <w:pPr>
              <w:pStyle w:val="TableParagraph"/>
              <w:spacing w:before="4"/>
              <w:ind w:left="0"/>
              <w:rPr>
                <w:sz w:val="19"/>
              </w:rPr>
            </w:pPr>
          </w:p>
          <w:p w14:paraId="7EEF4096" w14:textId="2073E87E" w:rsidR="00B84D06" w:rsidRDefault="00347544">
            <w:pPr>
              <w:pStyle w:val="TableParagraph"/>
              <w:ind w:left="104"/>
            </w:pPr>
            <w:r>
              <w:t>Risk management policy</w:t>
            </w:r>
          </w:p>
        </w:tc>
      </w:tr>
      <w:tr w:rsidR="00B84D06" w14:paraId="56F6158F" w14:textId="77777777">
        <w:trPr>
          <w:trHeight w:val="549"/>
        </w:trPr>
        <w:tc>
          <w:tcPr>
            <w:tcW w:w="2050" w:type="dxa"/>
            <w:shd w:val="clear" w:color="auto" w:fill="F2F2F2"/>
          </w:tcPr>
          <w:p w14:paraId="468538E4" w14:textId="77777777" w:rsidR="00B84D06" w:rsidRDefault="00B84D06">
            <w:pPr>
              <w:pStyle w:val="TableParagraph"/>
              <w:spacing w:before="7"/>
              <w:ind w:left="0"/>
              <w:rPr>
                <w:sz w:val="19"/>
              </w:rPr>
            </w:pPr>
          </w:p>
          <w:p w14:paraId="7FE4697A" w14:textId="77777777" w:rsidR="00B84D06" w:rsidRDefault="00A75683">
            <w:pPr>
              <w:pStyle w:val="TableParagraph"/>
              <w:ind w:left="208" w:right="193"/>
              <w:jc w:val="center"/>
              <w:rPr>
                <w:rFonts w:ascii="Calibri"/>
              </w:rPr>
            </w:pPr>
            <w:r>
              <w:rPr>
                <w:rFonts w:ascii="Calibri"/>
              </w:rPr>
              <w:t>Link with Strategy</w:t>
            </w:r>
          </w:p>
        </w:tc>
        <w:tc>
          <w:tcPr>
            <w:tcW w:w="6968" w:type="dxa"/>
          </w:tcPr>
          <w:p w14:paraId="78AF67AD" w14:textId="77777777" w:rsidR="00B84D06" w:rsidRDefault="00B84D06">
            <w:pPr>
              <w:pStyle w:val="TableParagraph"/>
              <w:spacing w:before="7"/>
              <w:ind w:left="0"/>
              <w:rPr>
                <w:sz w:val="19"/>
              </w:rPr>
            </w:pPr>
          </w:p>
          <w:p w14:paraId="7C294983" w14:textId="77777777" w:rsidR="00B84D06" w:rsidRDefault="00A75683">
            <w:pPr>
              <w:pStyle w:val="TableParagraph"/>
              <w:ind w:left="104"/>
            </w:pPr>
            <w:r>
              <w:t>Governance arrangement and risk mitigation.</w:t>
            </w:r>
          </w:p>
        </w:tc>
      </w:tr>
      <w:tr w:rsidR="00B84D06" w14:paraId="7E9078C2" w14:textId="77777777">
        <w:trPr>
          <w:trHeight w:val="577"/>
        </w:trPr>
        <w:tc>
          <w:tcPr>
            <w:tcW w:w="2050" w:type="dxa"/>
            <w:vMerge w:val="restart"/>
            <w:shd w:val="clear" w:color="auto" w:fill="F2F2F2"/>
          </w:tcPr>
          <w:p w14:paraId="39A5E93D" w14:textId="77777777" w:rsidR="00B84D06" w:rsidRDefault="00B84D06">
            <w:pPr>
              <w:pStyle w:val="TableParagraph"/>
              <w:ind w:left="0"/>
            </w:pPr>
          </w:p>
          <w:p w14:paraId="2CF19E48" w14:textId="77777777" w:rsidR="00B84D06" w:rsidRDefault="00A75683">
            <w:pPr>
              <w:pStyle w:val="TableParagraph"/>
              <w:spacing w:before="157"/>
              <w:ind w:left="165"/>
              <w:rPr>
                <w:rFonts w:ascii="Calibri"/>
              </w:rPr>
            </w:pPr>
            <w:r>
              <w:rPr>
                <w:rFonts w:ascii="Calibri"/>
              </w:rPr>
              <w:t>Impact Assessment</w:t>
            </w:r>
          </w:p>
        </w:tc>
        <w:tc>
          <w:tcPr>
            <w:tcW w:w="6968" w:type="dxa"/>
          </w:tcPr>
          <w:p w14:paraId="4C51F0D2" w14:textId="665EF0B4" w:rsidR="00B84D06" w:rsidRDefault="00A75683">
            <w:pPr>
              <w:pStyle w:val="TableParagraph"/>
              <w:spacing w:before="131"/>
              <w:ind w:left="104"/>
            </w:pPr>
            <w:r>
              <w:t>Equality Impact Assessment: 13/02/17</w:t>
            </w:r>
            <w:r w:rsidR="00F15D6E">
              <w:t>. Last reviewed: 18/08/2026</w:t>
            </w:r>
          </w:p>
        </w:tc>
      </w:tr>
      <w:tr w:rsidR="00B84D06" w14:paraId="659C44C4" w14:textId="77777777">
        <w:trPr>
          <w:trHeight w:val="578"/>
        </w:trPr>
        <w:tc>
          <w:tcPr>
            <w:tcW w:w="2050" w:type="dxa"/>
            <w:vMerge/>
            <w:tcBorders>
              <w:top w:val="nil"/>
            </w:tcBorders>
            <w:shd w:val="clear" w:color="auto" w:fill="F2F2F2"/>
          </w:tcPr>
          <w:p w14:paraId="0775ADD4" w14:textId="77777777" w:rsidR="00B84D06" w:rsidRDefault="00B84D06">
            <w:pPr>
              <w:rPr>
                <w:sz w:val="2"/>
                <w:szCs w:val="2"/>
              </w:rPr>
            </w:pPr>
          </w:p>
        </w:tc>
        <w:tc>
          <w:tcPr>
            <w:tcW w:w="6968" w:type="dxa"/>
          </w:tcPr>
          <w:p w14:paraId="489A6187" w14:textId="5FE84C00" w:rsidR="00B84D06" w:rsidRDefault="00A75683">
            <w:pPr>
              <w:pStyle w:val="TableParagraph"/>
              <w:spacing w:before="131"/>
              <w:ind w:left="104"/>
            </w:pPr>
            <w:r>
              <w:t xml:space="preserve">Privacy Impact Assessment: </w:t>
            </w:r>
            <w:r w:rsidR="00F15D6E">
              <w:t>Not required.</w:t>
            </w:r>
          </w:p>
        </w:tc>
      </w:tr>
    </w:tbl>
    <w:p w14:paraId="37071368" w14:textId="77777777" w:rsidR="00B84D06" w:rsidRDefault="00B84D06">
      <w:pPr>
        <w:sectPr w:rsidR="00B84D06">
          <w:pgSz w:w="11930" w:h="16860"/>
          <w:pgMar w:top="1040" w:right="1080" w:bottom="1560" w:left="1080" w:header="626" w:footer="1376" w:gutter="0"/>
          <w:cols w:space="720"/>
        </w:sectPr>
      </w:pPr>
    </w:p>
    <w:p w14:paraId="25804E74" w14:textId="77777777" w:rsidR="00B84D06" w:rsidRDefault="00A75683">
      <w:pPr>
        <w:pStyle w:val="Heading2"/>
        <w:spacing w:before="46"/>
      </w:pPr>
      <w:bookmarkStart w:id="3" w:name="1.0_Overview"/>
      <w:bookmarkEnd w:id="3"/>
      <w:r>
        <w:lastRenderedPageBreak/>
        <w:t>1.0 Overview</w:t>
      </w:r>
    </w:p>
    <w:p w14:paraId="464E9188" w14:textId="77777777" w:rsidR="00B84D06" w:rsidRDefault="00A75683">
      <w:pPr>
        <w:pStyle w:val="BodyText"/>
        <w:spacing w:before="159"/>
        <w:ind w:left="220" w:right="333"/>
      </w:pPr>
      <w:r>
        <w:t>Risk is inherent in all activity. Risk management is important to ensure that all significant, relevant risks are understood and prioritised as part of normal management practices.</w:t>
      </w:r>
    </w:p>
    <w:p w14:paraId="4F31DCA1" w14:textId="19AADFF3" w:rsidR="00B84D06" w:rsidRDefault="00A75683">
      <w:pPr>
        <w:pStyle w:val="BodyText"/>
        <w:spacing w:before="161"/>
        <w:ind w:left="220" w:right="334"/>
      </w:pPr>
      <w:r>
        <w:t xml:space="preserve">Information on risk must be organised in a way that is useful for management purposes and enables decisions to be taken based on the knowledge of risk versus reward. Identification and management of risk on a consistent, appropriate and timeous basis is a requirement of </w:t>
      </w:r>
      <w:r w:rsidR="00347544">
        <w:t>Scottish Funding Council (SFC)</w:t>
      </w:r>
      <w:r>
        <w:t>, the university’s principal funder.</w:t>
      </w:r>
    </w:p>
    <w:p w14:paraId="46E9FE9B" w14:textId="77777777" w:rsidR="00B84D06" w:rsidRDefault="00A75683">
      <w:pPr>
        <w:pStyle w:val="Heading2"/>
        <w:spacing w:before="157"/>
        <w:ind w:left="220"/>
      </w:pPr>
      <w:bookmarkStart w:id="4" w:name="2.0_Purpose"/>
      <w:bookmarkEnd w:id="4"/>
      <w:r>
        <w:t>2.0 Purpose</w:t>
      </w:r>
    </w:p>
    <w:p w14:paraId="19D94C4A" w14:textId="77777777" w:rsidR="00B84D06" w:rsidRDefault="00A75683">
      <w:pPr>
        <w:pStyle w:val="BodyText"/>
        <w:spacing w:before="161"/>
        <w:ind w:left="220" w:right="322"/>
      </w:pPr>
      <w:r>
        <w:t>This policy forms part of the University of the Highlands and Islands’ governance arrangements. A review of the implementation of the policy will inform the planning of internal audit work on an annual</w:t>
      </w:r>
      <w:bookmarkStart w:id="5" w:name="3.0_Scope"/>
      <w:bookmarkEnd w:id="5"/>
      <w:r>
        <w:t xml:space="preserve"> basis.</w:t>
      </w:r>
    </w:p>
    <w:p w14:paraId="40506D67" w14:textId="77777777" w:rsidR="00B84D06" w:rsidRDefault="00A75683">
      <w:pPr>
        <w:pStyle w:val="Heading2"/>
        <w:spacing w:before="156"/>
        <w:ind w:left="220"/>
      </w:pPr>
      <w:r>
        <w:t>3.0 Scope</w:t>
      </w:r>
    </w:p>
    <w:p w14:paraId="6881DCEF" w14:textId="76FB682F" w:rsidR="00B84D06" w:rsidRDefault="00A75683">
      <w:pPr>
        <w:pStyle w:val="BodyText"/>
        <w:spacing w:before="161"/>
        <w:ind w:left="220" w:right="230"/>
      </w:pPr>
      <w:r>
        <w:t xml:space="preserve">The scope of this policy was initially developed to apply to faculties and departments of </w:t>
      </w:r>
      <w:r w:rsidR="00347544">
        <w:t>the university</w:t>
      </w:r>
      <w:r>
        <w:t xml:space="preserve"> and also to create a model of good practice methodology that could be adopted by Academic Partners.</w:t>
      </w:r>
    </w:p>
    <w:p w14:paraId="5905B8D4" w14:textId="77777777" w:rsidR="00B84D06" w:rsidRDefault="00A75683">
      <w:pPr>
        <w:pStyle w:val="Heading2"/>
        <w:spacing w:before="159"/>
        <w:ind w:left="220"/>
      </w:pPr>
      <w:bookmarkStart w:id="6" w:name="4.0_Risk_Policy_Statements"/>
      <w:bookmarkEnd w:id="6"/>
      <w:r>
        <w:t>4.0 Risk Policy Statements</w:t>
      </w:r>
    </w:p>
    <w:p w14:paraId="4B908E75" w14:textId="25D8D527" w:rsidR="00B84D06" w:rsidRDefault="00A75683">
      <w:pPr>
        <w:pStyle w:val="BodyText"/>
        <w:spacing w:before="161"/>
        <w:ind w:left="220" w:right="1104"/>
      </w:pPr>
      <w:r>
        <w:t>The current policy statements on risk were reviewed and agreed by the University Court:</w:t>
      </w:r>
    </w:p>
    <w:p w14:paraId="03B5F87F" w14:textId="77777777" w:rsidR="00B84D06" w:rsidRDefault="00A75683">
      <w:pPr>
        <w:pStyle w:val="BodyText"/>
        <w:spacing w:before="159"/>
        <w:ind w:left="220" w:right="392"/>
      </w:pPr>
      <w:r>
        <w:t>The University’s general approach is to minimise its exposure to risk. It will seek to recognise risk and mitigate the adverse consequences. However, the University recognises that in pursuit of its mission and academic objectives it may choose to accept an increased level of risk. It will do so, subject always to ensuring that the potential benefits and risks are fully understood before developments are authorised, and that sensible measures to mitigate risk are established.</w:t>
      </w:r>
    </w:p>
    <w:p w14:paraId="770AD961" w14:textId="77777777" w:rsidR="00B84D06" w:rsidRDefault="00B84D06">
      <w:pPr>
        <w:pStyle w:val="BodyText"/>
      </w:pPr>
    </w:p>
    <w:p w14:paraId="764255BF" w14:textId="77777777" w:rsidR="00B84D06" w:rsidRDefault="00A75683">
      <w:pPr>
        <w:pStyle w:val="Heading2"/>
        <w:spacing w:before="157"/>
        <w:ind w:left="220"/>
      </w:pPr>
      <w:bookmarkStart w:id="7" w:name="Risk_Appetite"/>
      <w:bookmarkEnd w:id="7"/>
      <w:r>
        <w:t>Risk Appetite</w:t>
      </w:r>
    </w:p>
    <w:p w14:paraId="69E075CC" w14:textId="77777777" w:rsidR="00B84D06" w:rsidRDefault="00A75683">
      <w:pPr>
        <w:pStyle w:val="BodyText"/>
        <w:spacing w:before="161"/>
        <w:ind w:left="220" w:right="327"/>
        <w:jc w:val="both"/>
      </w:pPr>
      <w:r>
        <w:t>The University will take a portfolio approach to risk management – i.e. whilst at any one time it may be carrying a high level of risks in one or more parts of its business, it will ensure that the number of areas exposed to high risk at any time are minimised and balanced with a low risk approach in other areas.</w:t>
      </w:r>
    </w:p>
    <w:p w14:paraId="63140539" w14:textId="77777777" w:rsidR="00B84D06" w:rsidRDefault="00A75683">
      <w:pPr>
        <w:pStyle w:val="BodyText"/>
        <w:spacing w:before="157"/>
        <w:ind w:left="217" w:right="479"/>
      </w:pPr>
      <w:r>
        <w:t>The portfolio of risk will be regularly reviewed by the risk review group, finance and general purposes committee and university court.</w:t>
      </w:r>
    </w:p>
    <w:p w14:paraId="12194E0D" w14:textId="77777777" w:rsidR="00B84D06" w:rsidRDefault="00A75683">
      <w:pPr>
        <w:pStyle w:val="BodyText"/>
        <w:spacing w:before="159"/>
        <w:ind w:left="217" w:right="290"/>
      </w:pPr>
      <w:r>
        <w:t>High risk areas will be very closely aligned to strategic priorities and aligned to high returns i.e. the university should not be exposed to high levels of risk if returns are likely to be minimal or if the activity is not business critical.</w:t>
      </w:r>
    </w:p>
    <w:p w14:paraId="6FD4033D" w14:textId="77777777" w:rsidR="00B84D06" w:rsidRDefault="00A75683">
      <w:pPr>
        <w:pStyle w:val="BodyText"/>
        <w:spacing w:before="159"/>
        <w:ind w:left="217" w:right="857"/>
      </w:pPr>
      <w:r>
        <w:t>The elapsed time over which the university is exposed to a high level of risk in any area should be minimised as much as possible.</w:t>
      </w:r>
    </w:p>
    <w:p w14:paraId="338D360B" w14:textId="77777777" w:rsidR="00B84D06" w:rsidRDefault="00B84D06">
      <w:pPr>
        <w:sectPr w:rsidR="00B84D06">
          <w:pgSz w:w="11930" w:h="16860"/>
          <w:pgMar w:top="1040" w:right="1080" w:bottom="1560" w:left="1080" w:header="626" w:footer="1376" w:gutter="0"/>
          <w:cols w:space="720"/>
        </w:sectPr>
      </w:pPr>
    </w:p>
    <w:p w14:paraId="4B5F19A4" w14:textId="77777777" w:rsidR="00B84D06" w:rsidRDefault="00B84D06">
      <w:pPr>
        <w:pStyle w:val="BodyText"/>
        <w:rPr>
          <w:sz w:val="20"/>
        </w:rPr>
      </w:pPr>
    </w:p>
    <w:p w14:paraId="1A6773A9" w14:textId="77777777" w:rsidR="00B84D06" w:rsidRDefault="00B84D06">
      <w:pPr>
        <w:pStyle w:val="BodyText"/>
        <w:spacing w:before="9"/>
        <w:rPr>
          <w:sz w:val="18"/>
        </w:rPr>
      </w:pPr>
    </w:p>
    <w:p w14:paraId="0DCCCE06" w14:textId="77777777" w:rsidR="00B84D06" w:rsidRDefault="00A75683">
      <w:pPr>
        <w:pStyle w:val="Heading2"/>
      </w:pPr>
      <w:bookmarkStart w:id="8" w:name="5.0_Partnership_Approach_to_Risk_managem"/>
      <w:bookmarkEnd w:id="8"/>
      <w:r>
        <w:t>5.0 Partnership Approach to Risk management (Communication/Awareness of Aggregate Risk)</w:t>
      </w:r>
    </w:p>
    <w:p w14:paraId="0508756E" w14:textId="0A75F93C" w:rsidR="00B84D06" w:rsidRDefault="00A75683">
      <w:pPr>
        <w:pStyle w:val="BodyText"/>
        <w:spacing w:before="161"/>
        <w:ind w:left="218" w:right="271"/>
      </w:pPr>
      <w:r>
        <w:t>The University uses a standardised risk template. The template and the methodology for recording risks was developed and agreed through the Finance Directors Practitioners Group and the process for completing and sharing risk registers was endorsed by Academic Partners Principals.</w:t>
      </w:r>
    </w:p>
    <w:p w14:paraId="308DA7BF" w14:textId="77777777" w:rsidR="00B84D06" w:rsidRDefault="00A75683">
      <w:pPr>
        <w:pStyle w:val="BodyText"/>
        <w:spacing w:before="157"/>
        <w:ind w:left="218" w:right="469"/>
      </w:pPr>
      <w:r>
        <w:t>A separate risk template is provided for each executive office department, academic partner and EO project. Risk registers are reviewed on a quarterly basis by the Risk Review Group and risk reports are presented as a standing agenda item to various committees and to the University Court.</w:t>
      </w:r>
    </w:p>
    <w:p w14:paraId="4569195C" w14:textId="77777777" w:rsidR="00B84D06" w:rsidRDefault="00A75683">
      <w:pPr>
        <w:pStyle w:val="BodyText"/>
        <w:spacing w:before="161"/>
        <w:ind w:left="218" w:right="543"/>
      </w:pPr>
      <w:r>
        <w:t>Risk registers are saved within a shared folder and are linked to a sequel server database to facilitate enhanced monitoring and reporting of risks.</w:t>
      </w:r>
    </w:p>
    <w:p w14:paraId="6BFEC97E" w14:textId="77777777" w:rsidR="00B84D06" w:rsidRDefault="00A75683">
      <w:pPr>
        <w:pStyle w:val="BodyText"/>
        <w:spacing w:before="159"/>
        <w:ind w:left="218" w:right="515"/>
      </w:pPr>
      <w:r>
        <w:t>The criteria for measuring the likelihood of risks occurring and the gross impact of risks is attached at Appendix 1.</w:t>
      </w:r>
    </w:p>
    <w:p w14:paraId="2884D645" w14:textId="77777777" w:rsidR="00B84D06" w:rsidRDefault="00B84D06">
      <w:pPr>
        <w:pStyle w:val="BodyText"/>
      </w:pPr>
    </w:p>
    <w:p w14:paraId="0B1CD356" w14:textId="77777777" w:rsidR="00B84D06" w:rsidRDefault="00B84D06">
      <w:pPr>
        <w:pStyle w:val="BodyText"/>
        <w:spacing w:before="3"/>
        <w:rPr>
          <w:sz w:val="26"/>
        </w:rPr>
      </w:pPr>
    </w:p>
    <w:p w14:paraId="6BE43B8B" w14:textId="77777777" w:rsidR="00B84D06" w:rsidRDefault="00A75683">
      <w:pPr>
        <w:pStyle w:val="Heading2"/>
      </w:pPr>
      <w:bookmarkStart w:id="9" w:name="6.0_Enforcement"/>
      <w:bookmarkEnd w:id="9"/>
      <w:r>
        <w:t>6.0 Enforcement</w:t>
      </w:r>
    </w:p>
    <w:p w14:paraId="2DCD3144" w14:textId="77777777" w:rsidR="00B84D06" w:rsidRDefault="00A75683">
      <w:pPr>
        <w:pStyle w:val="BodyText"/>
        <w:spacing w:before="161"/>
        <w:ind w:left="218" w:right="687"/>
      </w:pPr>
      <w:r>
        <w:t>An effective risk management policy should permeate existing management processes and provide assurance over the management of key risks. It requires interdependence between strategic and operational objectives, management processes, governance arrangements and other policies.</w:t>
      </w:r>
    </w:p>
    <w:p w14:paraId="33E7DB97" w14:textId="77777777" w:rsidR="00B84D06" w:rsidRDefault="00A75683">
      <w:pPr>
        <w:pStyle w:val="BodyText"/>
        <w:spacing w:before="162"/>
        <w:ind w:left="218"/>
      </w:pPr>
      <w:r>
        <w:t>The risk management policy is supported by related university policies including:</w:t>
      </w:r>
    </w:p>
    <w:p w14:paraId="60DFFA2F" w14:textId="77777777" w:rsidR="00B84D06" w:rsidRDefault="00B84D06">
      <w:pPr>
        <w:pStyle w:val="BodyText"/>
      </w:pPr>
    </w:p>
    <w:p w14:paraId="0B8DBE1C" w14:textId="77777777" w:rsidR="00B84D06" w:rsidRDefault="00B84D06">
      <w:pPr>
        <w:pStyle w:val="BodyText"/>
        <w:spacing w:before="5"/>
        <w:rPr>
          <w:sz w:val="32"/>
        </w:rPr>
      </w:pPr>
    </w:p>
    <w:p w14:paraId="57C2F443" w14:textId="77777777" w:rsidR="00B84D06" w:rsidRDefault="00A75683">
      <w:pPr>
        <w:pStyle w:val="ListParagraph"/>
        <w:numPr>
          <w:ilvl w:val="0"/>
          <w:numId w:val="3"/>
        </w:numPr>
        <w:tabs>
          <w:tab w:val="left" w:pos="967"/>
          <w:tab w:val="left" w:pos="968"/>
        </w:tabs>
        <w:spacing w:before="1"/>
      </w:pPr>
      <w:r>
        <w:t>Health and Safety</w:t>
      </w:r>
      <w:r>
        <w:rPr>
          <w:spacing w:val="-14"/>
        </w:rPr>
        <w:t xml:space="preserve"> </w:t>
      </w:r>
      <w:r>
        <w:t>Policy</w:t>
      </w:r>
    </w:p>
    <w:p w14:paraId="6D21A21A" w14:textId="77777777" w:rsidR="00B84D06" w:rsidRDefault="00A75683">
      <w:pPr>
        <w:pStyle w:val="ListParagraph"/>
        <w:numPr>
          <w:ilvl w:val="0"/>
          <w:numId w:val="3"/>
        </w:numPr>
        <w:tabs>
          <w:tab w:val="left" w:pos="967"/>
          <w:tab w:val="left" w:pos="968"/>
        </w:tabs>
        <w:spacing w:before="158"/>
      </w:pPr>
      <w:r>
        <w:t>Information Security</w:t>
      </w:r>
      <w:r>
        <w:rPr>
          <w:spacing w:val="-16"/>
        </w:rPr>
        <w:t xml:space="preserve"> </w:t>
      </w:r>
      <w:r>
        <w:t>Policy</w:t>
      </w:r>
    </w:p>
    <w:p w14:paraId="3E54B1A3" w14:textId="77777777" w:rsidR="00B84D06" w:rsidRDefault="00A75683">
      <w:pPr>
        <w:pStyle w:val="ListParagraph"/>
        <w:numPr>
          <w:ilvl w:val="0"/>
          <w:numId w:val="3"/>
        </w:numPr>
        <w:tabs>
          <w:tab w:val="left" w:pos="967"/>
          <w:tab w:val="left" w:pos="968"/>
        </w:tabs>
        <w:spacing w:before="161"/>
      </w:pPr>
      <w:r>
        <w:t>Data Protection</w:t>
      </w:r>
      <w:r>
        <w:rPr>
          <w:spacing w:val="-13"/>
        </w:rPr>
        <w:t xml:space="preserve"> </w:t>
      </w:r>
      <w:r>
        <w:t>Policy</w:t>
      </w:r>
    </w:p>
    <w:p w14:paraId="05473AA9" w14:textId="77777777" w:rsidR="00B84D06" w:rsidRDefault="00A75683">
      <w:pPr>
        <w:pStyle w:val="ListParagraph"/>
        <w:numPr>
          <w:ilvl w:val="0"/>
          <w:numId w:val="3"/>
        </w:numPr>
        <w:tabs>
          <w:tab w:val="left" w:pos="967"/>
          <w:tab w:val="left" w:pos="968"/>
        </w:tabs>
      </w:pPr>
      <w:r>
        <w:t>Financial</w:t>
      </w:r>
      <w:r>
        <w:rPr>
          <w:spacing w:val="-8"/>
        </w:rPr>
        <w:t xml:space="preserve"> </w:t>
      </w:r>
      <w:r>
        <w:t>Regulations</w:t>
      </w:r>
    </w:p>
    <w:p w14:paraId="1CE33D39" w14:textId="77777777" w:rsidR="00B84D06" w:rsidRDefault="00A75683">
      <w:pPr>
        <w:pStyle w:val="ListParagraph"/>
        <w:numPr>
          <w:ilvl w:val="0"/>
          <w:numId w:val="3"/>
        </w:numPr>
        <w:tabs>
          <w:tab w:val="left" w:pos="967"/>
          <w:tab w:val="left" w:pos="968"/>
        </w:tabs>
        <w:spacing w:before="161"/>
      </w:pPr>
      <w:r>
        <w:t>HR</w:t>
      </w:r>
      <w:r>
        <w:rPr>
          <w:spacing w:val="-2"/>
        </w:rPr>
        <w:t xml:space="preserve"> </w:t>
      </w:r>
      <w:r>
        <w:t>Policy</w:t>
      </w:r>
    </w:p>
    <w:p w14:paraId="54B06A2E" w14:textId="77777777" w:rsidR="00B84D06" w:rsidRDefault="00B84D06">
      <w:pPr>
        <w:pStyle w:val="BodyText"/>
        <w:rPr>
          <w:sz w:val="26"/>
        </w:rPr>
      </w:pPr>
    </w:p>
    <w:p w14:paraId="0EE64294" w14:textId="77777777" w:rsidR="00B84D06" w:rsidRDefault="00B84D06">
      <w:pPr>
        <w:pStyle w:val="BodyText"/>
        <w:spacing w:before="11"/>
      </w:pPr>
    </w:p>
    <w:p w14:paraId="3294CF67" w14:textId="77777777" w:rsidR="00B84D06" w:rsidRDefault="00A75683">
      <w:pPr>
        <w:pStyle w:val="BodyText"/>
        <w:ind w:left="244"/>
      </w:pPr>
      <w:r>
        <w:t>The respective roles and responsibilities of staff and committees is set out in section 7 below.</w:t>
      </w:r>
    </w:p>
    <w:p w14:paraId="11E57FA2" w14:textId="77777777" w:rsidR="00B84D06" w:rsidRDefault="00B84D06">
      <w:pPr>
        <w:pStyle w:val="BodyText"/>
      </w:pPr>
    </w:p>
    <w:p w14:paraId="2C5E1BD5" w14:textId="77777777" w:rsidR="00B84D06" w:rsidRDefault="00B84D06">
      <w:pPr>
        <w:pStyle w:val="BodyText"/>
        <w:spacing w:before="2"/>
        <w:rPr>
          <w:sz w:val="26"/>
        </w:rPr>
      </w:pPr>
    </w:p>
    <w:p w14:paraId="315E73C6" w14:textId="77777777" w:rsidR="00B84D06" w:rsidRDefault="00A75683">
      <w:pPr>
        <w:pStyle w:val="Heading2"/>
        <w:numPr>
          <w:ilvl w:val="1"/>
          <w:numId w:val="2"/>
        </w:numPr>
        <w:tabs>
          <w:tab w:val="left" w:pos="605"/>
        </w:tabs>
      </w:pPr>
      <w:bookmarkStart w:id="10" w:name="7.0_Roles_and_Responsibilities"/>
      <w:bookmarkEnd w:id="10"/>
      <w:r>
        <w:t>Roles and</w:t>
      </w:r>
      <w:r>
        <w:rPr>
          <w:spacing w:val="-15"/>
        </w:rPr>
        <w:t xml:space="preserve"> </w:t>
      </w:r>
      <w:r>
        <w:t>Responsibilities</w:t>
      </w:r>
    </w:p>
    <w:p w14:paraId="0F8C5204" w14:textId="76EBB579" w:rsidR="00B84D06" w:rsidRDefault="00A75683">
      <w:pPr>
        <w:pStyle w:val="BodyText"/>
        <w:spacing w:before="159"/>
        <w:ind w:left="245"/>
      </w:pPr>
      <w:r>
        <w:t>The Secretary of the University is the policy owner.</w:t>
      </w:r>
    </w:p>
    <w:p w14:paraId="15332A30" w14:textId="77777777" w:rsidR="00B84D06" w:rsidRDefault="00A75683">
      <w:pPr>
        <w:pStyle w:val="BodyText"/>
        <w:spacing w:before="159"/>
        <w:ind w:left="245" w:right="511"/>
      </w:pPr>
      <w:r>
        <w:t>The recognition and management of risk is the responsibility of everyone who allocates and/or uses resources so all members of staff should have an awareness of the risks of the organisation and each department should maintain their own risk register.</w:t>
      </w:r>
    </w:p>
    <w:p w14:paraId="66E638E5" w14:textId="77777777" w:rsidR="00B84D06" w:rsidRDefault="00B84D06">
      <w:pPr>
        <w:sectPr w:rsidR="00B84D06">
          <w:pgSz w:w="11930" w:h="16860"/>
          <w:pgMar w:top="1040" w:right="1080" w:bottom="1560" w:left="1080" w:header="626" w:footer="1376" w:gutter="0"/>
          <w:cols w:space="720"/>
        </w:sectPr>
      </w:pPr>
    </w:p>
    <w:p w14:paraId="292191A5" w14:textId="77777777" w:rsidR="00B84D06" w:rsidRDefault="00B84D06">
      <w:pPr>
        <w:pStyle w:val="BodyText"/>
        <w:rPr>
          <w:sz w:val="20"/>
        </w:rPr>
      </w:pPr>
    </w:p>
    <w:p w14:paraId="07DD225D" w14:textId="77777777" w:rsidR="00B84D06" w:rsidRDefault="00B84D06">
      <w:pPr>
        <w:pStyle w:val="BodyText"/>
        <w:spacing w:before="9"/>
        <w:rPr>
          <w:sz w:val="18"/>
        </w:rPr>
      </w:pPr>
    </w:p>
    <w:p w14:paraId="497BFED6" w14:textId="77777777" w:rsidR="00B84D06" w:rsidRDefault="00A75683">
      <w:pPr>
        <w:pStyle w:val="BodyText"/>
        <w:ind w:left="220" w:right="1276" w:hanging="3"/>
      </w:pPr>
      <w:r>
        <w:t>Risks need to be evaluated in a controlled manner and the uncertainties involved need to be minimised. The approaches available to managing risk include:</w:t>
      </w:r>
    </w:p>
    <w:p w14:paraId="34EC224C" w14:textId="77777777" w:rsidR="00B84D06" w:rsidRDefault="00A75683">
      <w:pPr>
        <w:pStyle w:val="ListParagraph"/>
        <w:numPr>
          <w:ilvl w:val="2"/>
          <w:numId w:val="2"/>
        </w:numPr>
        <w:tabs>
          <w:tab w:val="left" w:pos="1056"/>
          <w:tab w:val="left" w:pos="1057"/>
        </w:tabs>
        <w:spacing w:before="161"/>
        <w:ind w:hanging="362"/>
      </w:pPr>
      <w:r>
        <w:t>Terminate – avoid risk by doing something</w:t>
      </w:r>
      <w:r>
        <w:rPr>
          <w:spacing w:val="-19"/>
        </w:rPr>
        <w:t xml:space="preserve"> </w:t>
      </w:r>
      <w:r>
        <w:t>else</w:t>
      </w:r>
    </w:p>
    <w:p w14:paraId="61EC8D2E" w14:textId="77777777" w:rsidR="00B84D06" w:rsidRDefault="00A75683">
      <w:pPr>
        <w:pStyle w:val="ListParagraph"/>
        <w:numPr>
          <w:ilvl w:val="2"/>
          <w:numId w:val="2"/>
        </w:numPr>
        <w:tabs>
          <w:tab w:val="left" w:pos="1056"/>
          <w:tab w:val="left" w:pos="1057"/>
        </w:tabs>
      </w:pPr>
      <w:r>
        <w:t>Transfer</w:t>
      </w:r>
      <w:r>
        <w:rPr>
          <w:spacing w:val="-3"/>
        </w:rPr>
        <w:t xml:space="preserve"> </w:t>
      </w:r>
      <w:r>
        <w:t>–</w:t>
      </w:r>
      <w:r>
        <w:rPr>
          <w:spacing w:val="1"/>
        </w:rPr>
        <w:t xml:space="preserve"> </w:t>
      </w:r>
      <w:r>
        <w:t>risk</w:t>
      </w:r>
      <w:r>
        <w:rPr>
          <w:spacing w:val="-3"/>
        </w:rPr>
        <w:t xml:space="preserve"> </w:t>
      </w:r>
      <w:r>
        <w:t>passed</w:t>
      </w:r>
      <w:r>
        <w:rPr>
          <w:spacing w:val="-3"/>
        </w:rPr>
        <w:t xml:space="preserve"> </w:t>
      </w:r>
      <w:r>
        <w:t>on</w:t>
      </w:r>
      <w:r>
        <w:rPr>
          <w:spacing w:val="-2"/>
        </w:rPr>
        <w:t xml:space="preserve"> </w:t>
      </w:r>
      <w:r>
        <w:t>to</w:t>
      </w:r>
      <w:r>
        <w:rPr>
          <w:spacing w:val="-1"/>
        </w:rPr>
        <w:t xml:space="preserve"> </w:t>
      </w:r>
      <w:r>
        <w:t>someone</w:t>
      </w:r>
      <w:r>
        <w:rPr>
          <w:spacing w:val="-3"/>
        </w:rPr>
        <w:t xml:space="preserve"> </w:t>
      </w:r>
      <w:r>
        <w:t>else</w:t>
      </w:r>
      <w:r>
        <w:rPr>
          <w:spacing w:val="-2"/>
        </w:rPr>
        <w:t xml:space="preserve"> </w:t>
      </w:r>
      <w:r>
        <w:t>e.g.</w:t>
      </w:r>
      <w:r>
        <w:rPr>
          <w:spacing w:val="-1"/>
        </w:rPr>
        <w:t xml:space="preserve"> </w:t>
      </w:r>
      <w:r>
        <w:t>outsourcing, insurance,</w:t>
      </w:r>
      <w:r>
        <w:rPr>
          <w:spacing w:val="-28"/>
        </w:rPr>
        <w:t xml:space="preserve"> </w:t>
      </w:r>
      <w:r>
        <w:t>subcontracting</w:t>
      </w:r>
    </w:p>
    <w:p w14:paraId="4AF11A2B" w14:textId="77777777" w:rsidR="00B84D06" w:rsidRDefault="00A75683">
      <w:pPr>
        <w:pStyle w:val="ListParagraph"/>
        <w:numPr>
          <w:ilvl w:val="2"/>
          <w:numId w:val="2"/>
        </w:numPr>
        <w:tabs>
          <w:tab w:val="left" w:pos="1056"/>
          <w:tab w:val="left" w:pos="1057"/>
        </w:tabs>
      </w:pPr>
      <w:r>
        <w:t>Treat – reduce risks by management</w:t>
      </w:r>
      <w:r>
        <w:rPr>
          <w:spacing w:val="-13"/>
        </w:rPr>
        <w:t xml:space="preserve"> </w:t>
      </w:r>
      <w:r>
        <w:t>action</w:t>
      </w:r>
    </w:p>
    <w:p w14:paraId="1E85B226" w14:textId="77777777" w:rsidR="00B84D06" w:rsidRDefault="00A75683">
      <w:pPr>
        <w:pStyle w:val="ListParagraph"/>
        <w:numPr>
          <w:ilvl w:val="2"/>
          <w:numId w:val="2"/>
        </w:numPr>
        <w:tabs>
          <w:tab w:val="left" w:pos="1056"/>
          <w:tab w:val="left" w:pos="1057"/>
        </w:tabs>
        <w:spacing w:before="161"/>
      </w:pPr>
      <w:r>
        <w:t>Tolerate – accept risk and manage</w:t>
      </w:r>
      <w:r>
        <w:rPr>
          <w:spacing w:val="-19"/>
        </w:rPr>
        <w:t xml:space="preserve"> </w:t>
      </w:r>
      <w:r>
        <w:t>appropriately</w:t>
      </w:r>
    </w:p>
    <w:p w14:paraId="0A101D12" w14:textId="77777777" w:rsidR="00B84D06" w:rsidRDefault="00B84D06">
      <w:pPr>
        <w:pStyle w:val="BodyText"/>
        <w:rPr>
          <w:sz w:val="24"/>
        </w:rPr>
      </w:pPr>
    </w:p>
    <w:p w14:paraId="2737F709" w14:textId="77777777" w:rsidR="00B84D06" w:rsidRDefault="00B84D06">
      <w:pPr>
        <w:pStyle w:val="BodyText"/>
        <w:spacing w:before="2"/>
        <w:rPr>
          <w:sz w:val="24"/>
        </w:rPr>
      </w:pPr>
    </w:p>
    <w:p w14:paraId="290CD04A" w14:textId="77777777" w:rsidR="00B84D06" w:rsidRDefault="00A75683">
      <w:pPr>
        <w:pStyle w:val="Heading2"/>
      </w:pPr>
      <w:bookmarkStart w:id="11" w:name="Role_of_the_University_Court"/>
      <w:bookmarkEnd w:id="11"/>
      <w:r>
        <w:t>Role of the University Court</w:t>
      </w:r>
    </w:p>
    <w:p w14:paraId="6B9F6D50" w14:textId="77777777" w:rsidR="00B84D06" w:rsidRDefault="00A75683">
      <w:pPr>
        <w:pStyle w:val="BodyText"/>
        <w:spacing w:before="156"/>
        <w:ind w:left="218"/>
      </w:pPr>
      <w:r>
        <w:t>The University Court has a fundamental role to play in the management of risk. Its role is to:</w:t>
      </w:r>
    </w:p>
    <w:p w14:paraId="5E318C5F" w14:textId="77777777" w:rsidR="00B84D06" w:rsidRDefault="00A75683">
      <w:pPr>
        <w:pStyle w:val="ListParagraph"/>
        <w:numPr>
          <w:ilvl w:val="0"/>
          <w:numId w:val="1"/>
        </w:numPr>
        <w:tabs>
          <w:tab w:val="left" w:pos="1056"/>
          <w:tab w:val="left" w:pos="1057"/>
        </w:tabs>
        <w:ind w:right="289"/>
      </w:pPr>
      <w:r>
        <w:t>Set the tone and influence the culture of risk management within the institution. This includes determining the risk appetite of the institution i.e. determining what risks are acceptable and which are not, and to provide a framework within which the appropriate level of exposure to risk can be determined in particular circumstances;</w:t>
      </w:r>
      <w:r>
        <w:rPr>
          <w:spacing w:val="-35"/>
        </w:rPr>
        <w:t xml:space="preserve"> </w:t>
      </w:r>
      <w:r>
        <w:t>and;</w:t>
      </w:r>
    </w:p>
    <w:p w14:paraId="2DE31186" w14:textId="2C76072D" w:rsidR="00B84D06" w:rsidRDefault="00A75683">
      <w:pPr>
        <w:pStyle w:val="ListParagraph"/>
        <w:numPr>
          <w:ilvl w:val="0"/>
          <w:numId w:val="1"/>
        </w:numPr>
        <w:tabs>
          <w:tab w:val="left" w:pos="1056"/>
          <w:tab w:val="left" w:pos="1057"/>
        </w:tabs>
        <w:spacing w:before="160"/>
        <w:ind w:hanging="362"/>
      </w:pPr>
      <w:r>
        <w:t>Approve major decisions affecting the university’s risk profile</w:t>
      </w:r>
      <w:r>
        <w:rPr>
          <w:spacing w:val="-13"/>
        </w:rPr>
        <w:t xml:space="preserve"> </w:t>
      </w:r>
      <w:r>
        <w:t>or</w:t>
      </w:r>
      <w:r w:rsidR="00347544">
        <w:t xml:space="preserve"> </w:t>
      </w:r>
      <w:r>
        <w:t>exposure.</w:t>
      </w:r>
    </w:p>
    <w:p w14:paraId="7B240290" w14:textId="46FE0B96" w:rsidR="00B84D06" w:rsidRDefault="00A75683">
      <w:pPr>
        <w:pStyle w:val="ListParagraph"/>
        <w:numPr>
          <w:ilvl w:val="0"/>
          <w:numId w:val="1"/>
        </w:numPr>
        <w:tabs>
          <w:tab w:val="left" w:pos="1056"/>
          <w:tab w:val="left" w:pos="1057"/>
        </w:tabs>
        <w:spacing w:before="161"/>
        <w:ind w:right="792"/>
      </w:pPr>
      <w:r>
        <w:t>Submit an annual corporate governance statement to Scottish Funding Council following advice from the Audit Committee, senior management, external and</w:t>
      </w:r>
      <w:r w:rsidR="00347544">
        <w:t xml:space="preserve"> </w:t>
      </w:r>
      <w:r>
        <w:t>internal</w:t>
      </w:r>
      <w:r>
        <w:rPr>
          <w:spacing w:val="-10"/>
        </w:rPr>
        <w:t xml:space="preserve"> </w:t>
      </w:r>
      <w:r>
        <w:t>audit.</w:t>
      </w:r>
    </w:p>
    <w:p w14:paraId="2F835A0E" w14:textId="77777777" w:rsidR="00B84D06" w:rsidRDefault="00B84D06">
      <w:pPr>
        <w:pStyle w:val="BodyText"/>
      </w:pPr>
    </w:p>
    <w:p w14:paraId="5D229BC8" w14:textId="77777777" w:rsidR="00B84D06" w:rsidRDefault="00B84D06">
      <w:pPr>
        <w:pStyle w:val="BodyText"/>
        <w:spacing w:before="3"/>
        <w:rPr>
          <w:sz w:val="26"/>
        </w:rPr>
      </w:pPr>
    </w:p>
    <w:p w14:paraId="13BF398D" w14:textId="77777777" w:rsidR="00B84D06" w:rsidRDefault="00A75683">
      <w:pPr>
        <w:pStyle w:val="Heading2"/>
        <w:ind w:left="220"/>
      </w:pPr>
      <w:bookmarkStart w:id="12" w:name="Role_of_Finance_and_General_Purposes_Com"/>
      <w:bookmarkEnd w:id="12"/>
      <w:r>
        <w:t>Role of Finance and General Purposes Committee</w:t>
      </w:r>
    </w:p>
    <w:p w14:paraId="2A0F8D4C" w14:textId="77777777" w:rsidR="00B84D06" w:rsidRDefault="00A75683">
      <w:pPr>
        <w:pStyle w:val="BodyText"/>
        <w:spacing w:before="161"/>
        <w:ind w:left="220"/>
      </w:pPr>
      <w:r>
        <w:t>The Finance and General Purposes Committee is responsible for:</w:t>
      </w:r>
    </w:p>
    <w:p w14:paraId="31AC637E" w14:textId="1B0F42D9" w:rsidR="00B84D06" w:rsidRDefault="00A75683">
      <w:pPr>
        <w:pStyle w:val="ListParagraph"/>
        <w:numPr>
          <w:ilvl w:val="0"/>
          <w:numId w:val="1"/>
        </w:numPr>
        <w:tabs>
          <w:tab w:val="left" w:pos="1055"/>
          <w:tab w:val="left" w:pos="1057"/>
        </w:tabs>
        <w:ind w:right="472"/>
      </w:pPr>
      <w:r>
        <w:t>Ensuring that the major risks associated with specific proposals put to it have been properly considered and can be appropriately managed within the policy framework set by</w:t>
      </w:r>
      <w:r>
        <w:rPr>
          <w:spacing w:val="-16"/>
        </w:rPr>
        <w:t xml:space="preserve"> </w:t>
      </w:r>
      <w:r>
        <w:t>the</w:t>
      </w:r>
      <w:r w:rsidR="00347544">
        <w:t xml:space="preserve"> </w:t>
      </w:r>
      <w:r>
        <w:t>Court.</w:t>
      </w:r>
    </w:p>
    <w:p w14:paraId="3D71AC2B" w14:textId="77777777" w:rsidR="00B84D06" w:rsidRDefault="00A75683">
      <w:pPr>
        <w:pStyle w:val="ListParagraph"/>
        <w:numPr>
          <w:ilvl w:val="0"/>
          <w:numId w:val="1"/>
        </w:numPr>
        <w:tabs>
          <w:tab w:val="left" w:pos="1058"/>
          <w:tab w:val="left" w:pos="1059"/>
        </w:tabs>
        <w:ind w:left="1058" w:right="693"/>
      </w:pPr>
      <w:r>
        <w:t>Ensuring that corporate risks are properly managed, reviewing evidence to this effect and ensuring measurement of results as</w:t>
      </w:r>
      <w:r>
        <w:rPr>
          <w:spacing w:val="-20"/>
        </w:rPr>
        <w:t xml:space="preserve"> </w:t>
      </w:r>
      <w:r>
        <w:t>appropriate.</w:t>
      </w:r>
    </w:p>
    <w:p w14:paraId="4CE6CDD4" w14:textId="77777777" w:rsidR="00B84D06" w:rsidRDefault="00B84D06">
      <w:pPr>
        <w:pStyle w:val="BodyText"/>
      </w:pPr>
    </w:p>
    <w:p w14:paraId="4D73208C" w14:textId="77777777" w:rsidR="00B84D06" w:rsidRDefault="00B84D06">
      <w:pPr>
        <w:pStyle w:val="BodyText"/>
        <w:spacing w:before="2"/>
        <w:rPr>
          <w:sz w:val="26"/>
        </w:rPr>
      </w:pPr>
    </w:p>
    <w:p w14:paraId="54B46F3A" w14:textId="77777777" w:rsidR="00B84D06" w:rsidRDefault="00A75683">
      <w:pPr>
        <w:pStyle w:val="Heading2"/>
        <w:spacing w:before="1"/>
        <w:ind w:left="220"/>
      </w:pPr>
      <w:bookmarkStart w:id="13" w:name="Role_of_Audit_Committee"/>
      <w:bookmarkEnd w:id="13"/>
      <w:r>
        <w:t>Role of Audit Committee</w:t>
      </w:r>
    </w:p>
    <w:p w14:paraId="291BF224" w14:textId="77777777" w:rsidR="00B84D06" w:rsidRDefault="00A75683">
      <w:pPr>
        <w:pStyle w:val="BodyText"/>
        <w:spacing w:before="158"/>
        <w:ind w:left="220" w:right="881"/>
      </w:pPr>
      <w:r>
        <w:t>The Audit Committee is responsible for monitoring the university’s general arrangements for risk management and specifically for:</w:t>
      </w:r>
    </w:p>
    <w:p w14:paraId="30252266" w14:textId="77777777" w:rsidR="00B84D06" w:rsidRDefault="00A75683">
      <w:pPr>
        <w:pStyle w:val="ListParagraph"/>
        <w:numPr>
          <w:ilvl w:val="0"/>
          <w:numId w:val="1"/>
        </w:numPr>
        <w:tabs>
          <w:tab w:val="left" w:pos="1058"/>
          <w:tab w:val="left" w:pos="1059"/>
        </w:tabs>
        <w:spacing w:before="162"/>
        <w:ind w:left="1058" w:right="286"/>
      </w:pPr>
      <w:r>
        <w:t>Advising the Court on the effectiveness of policies and procedures for risk assessment and risk management;</w:t>
      </w:r>
    </w:p>
    <w:p w14:paraId="1BA57C4C" w14:textId="77777777" w:rsidR="00B84D06" w:rsidRDefault="00A75683">
      <w:pPr>
        <w:pStyle w:val="ListParagraph"/>
        <w:numPr>
          <w:ilvl w:val="0"/>
          <w:numId w:val="1"/>
        </w:numPr>
        <w:tabs>
          <w:tab w:val="left" w:pos="1058"/>
          <w:tab w:val="left" w:pos="1059"/>
        </w:tabs>
        <w:spacing w:before="161" w:line="237" w:lineRule="auto"/>
        <w:ind w:left="1058" w:right="584"/>
      </w:pPr>
      <w:r>
        <w:t>Annually reviewing the university’s approach to risk management and, if appropriate, recommending</w:t>
      </w:r>
      <w:r>
        <w:rPr>
          <w:spacing w:val="-3"/>
        </w:rPr>
        <w:t xml:space="preserve"> </w:t>
      </w:r>
      <w:r>
        <w:t>changes</w:t>
      </w:r>
      <w:r>
        <w:rPr>
          <w:spacing w:val="-3"/>
        </w:rPr>
        <w:t xml:space="preserve"> </w:t>
      </w:r>
      <w:r>
        <w:t>or</w:t>
      </w:r>
      <w:r>
        <w:rPr>
          <w:spacing w:val="-4"/>
        </w:rPr>
        <w:t xml:space="preserve"> </w:t>
      </w:r>
      <w:r>
        <w:t>improvements</w:t>
      </w:r>
      <w:r>
        <w:rPr>
          <w:spacing w:val="-1"/>
        </w:rPr>
        <w:t xml:space="preserve"> </w:t>
      </w:r>
      <w:r>
        <w:t>to</w:t>
      </w:r>
      <w:r>
        <w:rPr>
          <w:spacing w:val="-1"/>
        </w:rPr>
        <w:t xml:space="preserve"> </w:t>
      </w:r>
      <w:r>
        <w:t>key</w:t>
      </w:r>
      <w:r>
        <w:rPr>
          <w:spacing w:val="-2"/>
        </w:rPr>
        <w:t xml:space="preserve"> </w:t>
      </w:r>
      <w:r>
        <w:t>elements</w:t>
      </w:r>
      <w:r>
        <w:rPr>
          <w:spacing w:val="-4"/>
        </w:rPr>
        <w:t xml:space="preserve"> </w:t>
      </w:r>
      <w:r>
        <w:t>of</w:t>
      </w:r>
      <w:r>
        <w:rPr>
          <w:spacing w:val="-1"/>
        </w:rPr>
        <w:t xml:space="preserve"> </w:t>
      </w:r>
      <w:r>
        <w:t>its</w:t>
      </w:r>
      <w:r>
        <w:rPr>
          <w:spacing w:val="-3"/>
        </w:rPr>
        <w:t xml:space="preserve"> </w:t>
      </w:r>
      <w:r>
        <w:t>processes</w:t>
      </w:r>
      <w:r>
        <w:rPr>
          <w:spacing w:val="-2"/>
        </w:rPr>
        <w:t xml:space="preserve"> </w:t>
      </w:r>
      <w:r>
        <w:t>and</w:t>
      </w:r>
      <w:r>
        <w:rPr>
          <w:spacing w:val="-30"/>
        </w:rPr>
        <w:t xml:space="preserve"> </w:t>
      </w:r>
      <w:r>
        <w:t>procedures;</w:t>
      </w:r>
    </w:p>
    <w:p w14:paraId="369E2FE6" w14:textId="77777777" w:rsidR="00B84D06" w:rsidRDefault="00A75683">
      <w:pPr>
        <w:pStyle w:val="ListParagraph"/>
        <w:numPr>
          <w:ilvl w:val="0"/>
          <w:numId w:val="1"/>
        </w:numPr>
        <w:tabs>
          <w:tab w:val="left" w:pos="1059"/>
        </w:tabs>
        <w:spacing w:before="160"/>
        <w:ind w:left="1058" w:right="400"/>
        <w:jc w:val="both"/>
      </w:pPr>
      <w:r>
        <w:t>Providing a statement to the Court annually indicating how the university has complied with good practice with regard to Corporate Governance and, in particular, in relation to effective risk</w:t>
      </w:r>
      <w:r>
        <w:rPr>
          <w:spacing w:val="-7"/>
        </w:rPr>
        <w:t xml:space="preserve"> </w:t>
      </w:r>
      <w:r>
        <w:t>management.</w:t>
      </w:r>
    </w:p>
    <w:p w14:paraId="6DA05E8C" w14:textId="77777777" w:rsidR="00B84D06" w:rsidRDefault="00B84D06">
      <w:pPr>
        <w:jc w:val="both"/>
        <w:sectPr w:rsidR="00B84D06">
          <w:pgSz w:w="11930" w:h="16860"/>
          <w:pgMar w:top="1040" w:right="1080" w:bottom="1560" w:left="1080" w:header="626" w:footer="1376" w:gutter="0"/>
          <w:cols w:space="720"/>
        </w:sectPr>
      </w:pPr>
    </w:p>
    <w:p w14:paraId="3C581274" w14:textId="77777777" w:rsidR="00B84D06" w:rsidRDefault="00B84D06">
      <w:pPr>
        <w:pStyle w:val="BodyText"/>
        <w:rPr>
          <w:sz w:val="20"/>
        </w:rPr>
      </w:pPr>
    </w:p>
    <w:p w14:paraId="19C8ADB5" w14:textId="77777777" w:rsidR="00B84D06" w:rsidRDefault="00B84D06">
      <w:pPr>
        <w:pStyle w:val="BodyText"/>
        <w:spacing w:before="9"/>
        <w:rPr>
          <w:sz w:val="18"/>
        </w:rPr>
      </w:pPr>
    </w:p>
    <w:p w14:paraId="42BCA9C2" w14:textId="77777777" w:rsidR="00B84D06" w:rsidRDefault="00A75683">
      <w:pPr>
        <w:pStyle w:val="Heading2"/>
      </w:pPr>
      <w:bookmarkStart w:id="14" w:name="Role_of_Internal_Audit"/>
      <w:bookmarkEnd w:id="14"/>
      <w:r>
        <w:t>Role of Internal Audit</w:t>
      </w:r>
    </w:p>
    <w:p w14:paraId="5AC9495F" w14:textId="1F9B8557" w:rsidR="00B84D06" w:rsidRDefault="00A75683">
      <w:pPr>
        <w:pStyle w:val="BodyText"/>
        <w:spacing w:before="161"/>
        <w:ind w:left="218" w:right="1307"/>
      </w:pPr>
      <w:r>
        <w:t xml:space="preserve">The </w:t>
      </w:r>
      <w:r w:rsidR="00377095">
        <w:t>Internal Audit Service</w:t>
      </w:r>
      <w:r>
        <w:t xml:space="preserve"> reviews UHI risk annually on an independent basis to enable the development of an audit plan. This is done on the basis of best practice as recommended by professional institutes and other relevant associations.</w:t>
      </w:r>
    </w:p>
    <w:p w14:paraId="7710AFCE" w14:textId="77777777" w:rsidR="00B84D06" w:rsidRDefault="00A75683">
      <w:pPr>
        <w:pStyle w:val="BodyText"/>
        <w:spacing w:before="157"/>
        <w:ind w:left="220"/>
      </w:pPr>
      <w:r>
        <w:t>A “risk based” plan is prepared taking account of the university’s strategic plan and “audit universe”.</w:t>
      </w:r>
    </w:p>
    <w:p w14:paraId="6A70FB95" w14:textId="77777777" w:rsidR="00B84D06" w:rsidRDefault="00A75683">
      <w:pPr>
        <w:pStyle w:val="BodyText"/>
        <w:spacing w:before="159"/>
        <w:ind w:left="217"/>
      </w:pPr>
      <w:r>
        <w:t>Internal audit will:</w:t>
      </w:r>
    </w:p>
    <w:p w14:paraId="0B706ECE" w14:textId="77777777" w:rsidR="00B84D06" w:rsidRDefault="00A75683">
      <w:pPr>
        <w:pStyle w:val="ListParagraph"/>
        <w:numPr>
          <w:ilvl w:val="0"/>
          <w:numId w:val="1"/>
        </w:numPr>
        <w:tabs>
          <w:tab w:val="left" w:pos="1055"/>
          <w:tab w:val="left" w:pos="1056"/>
        </w:tabs>
        <w:spacing w:before="157"/>
        <w:ind w:left="1055"/>
      </w:pPr>
      <w:r>
        <w:t>Report its findings to the audit</w:t>
      </w:r>
      <w:r>
        <w:rPr>
          <w:spacing w:val="-14"/>
        </w:rPr>
        <w:t xml:space="preserve"> </w:t>
      </w:r>
      <w:r>
        <w:t>committee</w:t>
      </w:r>
    </w:p>
    <w:p w14:paraId="735788FC" w14:textId="77777777" w:rsidR="00B84D06" w:rsidRDefault="00A75683">
      <w:pPr>
        <w:pStyle w:val="ListParagraph"/>
        <w:numPr>
          <w:ilvl w:val="0"/>
          <w:numId w:val="1"/>
        </w:numPr>
        <w:tabs>
          <w:tab w:val="left" w:pos="1055"/>
          <w:tab w:val="left" w:pos="1056"/>
        </w:tabs>
        <w:spacing w:before="161"/>
        <w:ind w:left="1055"/>
      </w:pPr>
      <w:r>
        <w:t>Advise and make recommendations to senior managers as</w:t>
      </w:r>
      <w:r>
        <w:rPr>
          <w:spacing w:val="-26"/>
        </w:rPr>
        <w:t xml:space="preserve"> </w:t>
      </w:r>
      <w:r>
        <w:t>appropriate.</w:t>
      </w:r>
    </w:p>
    <w:p w14:paraId="002F1593" w14:textId="77777777" w:rsidR="00B84D06" w:rsidRDefault="00A75683">
      <w:pPr>
        <w:pStyle w:val="Heading2"/>
        <w:spacing w:before="161"/>
      </w:pPr>
      <w:bookmarkStart w:id="15" w:name="Risk_Review_Group"/>
      <w:bookmarkEnd w:id="15"/>
      <w:r>
        <w:t>Risk Review Group</w:t>
      </w:r>
    </w:p>
    <w:p w14:paraId="295B5CC7" w14:textId="77777777" w:rsidR="00B84D06" w:rsidRDefault="00A75683">
      <w:pPr>
        <w:pStyle w:val="BodyText"/>
        <w:spacing w:before="161"/>
        <w:ind w:left="218" w:right="515"/>
      </w:pPr>
      <w:r>
        <w:t>The Risk Review Group will review University risk registers and the risk registers of large strategic projects to ensure an independent view can be fed back to the appropriate project board. The Group reports to the Finance &amp; General Purposes Committee.</w:t>
      </w:r>
    </w:p>
    <w:p w14:paraId="310316DC" w14:textId="77777777" w:rsidR="00B84D06" w:rsidRDefault="00A75683">
      <w:pPr>
        <w:pStyle w:val="BodyText"/>
        <w:spacing w:before="154"/>
        <w:ind w:left="218"/>
      </w:pPr>
      <w:r>
        <w:t>Proceedings - The groups should meet quarterly approximately two/three weeks prior to Court.</w:t>
      </w:r>
    </w:p>
    <w:p w14:paraId="5E90D29B" w14:textId="611E6136" w:rsidR="00B84D06" w:rsidRDefault="00A75683">
      <w:pPr>
        <w:pStyle w:val="Heading2"/>
        <w:spacing w:before="161"/>
        <w:ind w:left="217"/>
      </w:pPr>
      <w:bookmarkStart w:id="16" w:name="Role_of_the_Senior_Management_Group"/>
      <w:bookmarkEnd w:id="16"/>
      <w:r>
        <w:t xml:space="preserve">Role of the Senior </w:t>
      </w:r>
      <w:r w:rsidR="00176078">
        <w:t xml:space="preserve">Executive Team </w:t>
      </w:r>
    </w:p>
    <w:p w14:paraId="74EC7898" w14:textId="77777777" w:rsidR="00B84D06" w:rsidRDefault="00B84D06">
      <w:pPr>
        <w:pStyle w:val="BodyText"/>
        <w:spacing w:before="8"/>
        <w:rPr>
          <w:b/>
          <w:sz w:val="21"/>
        </w:rPr>
      </w:pPr>
    </w:p>
    <w:p w14:paraId="2EDB5BD3" w14:textId="027D60DD" w:rsidR="00B84D06" w:rsidRDefault="00A75683">
      <w:pPr>
        <w:pStyle w:val="ListParagraph"/>
        <w:numPr>
          <w:ilvl w:val="0"/>
          <w:numId w:val="1"/>
        </w:numPr>
        <w:tabs>
          <w:tab w:val="left" w:pos="1056"/>
          <w:tab w:val="left" w:pos="1057"/>
        </w:tabs>
        <w:spacing w:before="1"/>
      </w:pPr>
      <w:r>
        <w:t>Implementing the Court’s risk management policy and ensuring</w:t>
      </w:r>
      <w:r w:rsidR="00176078">
        <w:t xml:space="preserve"> </w:t>
      </w:r>
      <w:r>
        <w:t>compliance</w:t>
      </w:r>
    </w:p>
    <w:p w14:paraId="305E8A31" w14:textId="77777777" w:rsidR="00B84D06" w:rsidRDefault="00A75683">
      <w:pPr>
        <w:pStyle w:val="ListParagraph"/>
        <w:numPr>
          <w:ilvl w:val="0"/>
          <w:numId w:val="1"/>
        </w:numPr>
        <w:tabs>
          <w:tab w:val="left" w:pos="1056"/>
          <w:tab w:val="left" w:pos="1057"/>
        </w:tabs>
        <w:spacing w:before="163" w:line="237" w:lineRule="auto"/>
        <w:ind w:right="780"/>
      </w:pPr>
      <w:r>
        <w:t>Identifying, evaluating and managing strategic and operational risks in the university and bringing</w:t>
      </w:r>
      <w:r>
        <w:rPr>
          <w:spacing w:val="-2"/>
        </w:rPr>
        <w:t xml:space="preserve"> </w:t>
      </w:r>
      <w:r>
        <w:t>emerging</w:t>
      </w:r>
      <w:r>
        <w:rPr>
          <w:spacing w:val="-1"/>
        </w:rPr>
        <w:t xml:space="preserve"> </w:t>
      </w:r>
      <w:r>
        <w:t>corporate risks</w:t>
      </w:r>
      <w:r>
        <w:rPr>
          <w:spacing w:val="-2"/>
        </w:rPr>
        <w:t xml:space="preserve"> </w:t>
      </w:r>
      <w:r>
        <w:t>to the</w:t>
      </w:r>
      <w:r>
        <w:rPr>
          <w:spacing w:val="-2"/>
        </w:rPr>
        <w:t xml:space="preserve"> </w:t>
      </w:r>
      <w:r>
        <w:t>attention</w:t>
      </w:r>
      <w:r>
        <w:rPr>
          <w:spacing w:val="-3"/>
        </w:rPr>
        <w:t xml:space="preserve"> </w:t>
      </w:r>
      <w:r>
        <w:t>of</w:t>
      </w:r>
      <w:r>
        <w:rPr>
          <w:spacing w:val="-4"/>
        </w:rPr>
        <w:t xml:space="preserve"> </w:t>
      </w:r>
      <w:r>
        <w:t>the</w:t>
      </w:r>
      <w:r>
        <w:rPr>
          <w:spacing w:val="1"/>
        </w:rPr>
        <w:t xml:space="preserve"> </w:t>
      </w:r>
      <w:r>
        <w:t>Risk</w:t>
      </w:r>
      <w:r>
        <w:rPr>
          <w:spacing w:val="-3"/>
        </w:rPr>
        <w:t xml:space="preserve"> </w:t>
      </w:r>
      <w:r>
        <w:t>Review</w:t>
      </w:r>
      <w:r>
        <w:rPr>
          <w:spacing w:val="-30"/>
        </w:rPr>
        <w:t xml:space="preserve"> </w:t>
      </w:r>
      <w:r>
        <w:t>Groups.</w:t>
      </w:r>
    </w:p>
    <w:p w14:paraId="35E839CA" w14:textId="1EF99E5B" w:rsidR="00B84D06" w:rsidRDefault="00A75683">
      <w:pPr>
        <w:pStyle w:val="ListParagraph"/>
        <w:numPr>
          <w:ilvl w:val="0"/>
          <w:numId w:val="1"/>
        </w:numPr>
        <w:tabs>
          <w:tab w:val="left" w:pos="1056"/>
          <w:tab w:val="left" w:pos="1057"/>
        </w:tabs>
        <w:spacing w:before="160"/>
        <w:ind w:right="767"/>
      </w:pPr>
      <w:r>
        <w:t>Ensuring that everyone in their area of responsibility understands their risk management responsibilities making clear the extent to which staff are empowered to</w:t>
      </w:r>
      <w:r>
        <w:rPr>
          <w:spacing w:val="-12"/>
        </w:rPr>
        <w:t xml:space="preserve"> </w:t>
      </w:r>
      <w:r>
        <w:t>take</w:t>
      </w:r>
      <w:r w:rsidR="00176078">
        <w:t xml:space="preserve"> </w:t>
      </w:r>
      <w:r>
        <w:t>risks.</w:t>
      </w:r>
    </w:p>
    <w:p w14:paraId="28FDD8DE" w14:textId="77777777" w:rsidR="00B84D06" w:rsidRDefault="00A75683">
      <w:pPr>
        <w:pStyle w:val="ListParagraph"/>
        <w:numPr>
          <w:ilvl w:val="0"/>
          <w:numId w:val="1"/>
        </w:numPr>
        <w:tabs>
          <w:tab w:val="left" w:pos="1056"/>
          <w:tab w:val="left" w:pos="1057"/>
        </w:tabs>
        <w:ind w:right="419"/>
      </w:pPr>
      <w:r>
        <w:t>Communicating university policy and information about the risk management programme to all staff, subsidiary organisations and external partners as</w:t>
      </w:r>
      <w:r>
        <w:rPr>
          <w:spacing w:val="-33"/>
        </w:rPr>
        <w:t xml:space="preserve"> </w:t>
      </w:r>
      <w:r>
        <w:t>appropriate.</w:t>
      </w:r>
    </w:p>
    <w:p w14:paraId="2D75985D" w14:textId="77777777" w:rsidR="00B84D06" w:rsidRDefault="00B84D06">
      <w:pPr>
        <w:pStyle w:val="BodyText"/>
        <w:rPr>
          <w:sz w:val="20"/>
        </w:rPr>
      </w:pPr>
    </w:p>
    <w:p w14:paraId="1362E7DA" w14:textId="77777777" w:rsidR="00B84D06" w:rsidRDefault="00B84D06">
      <w:pPr>
        <w:pStyle w:val="BodyText"/>
        <w:rPr>
          <w:sz w:val="20"/>
        </w:rPr>
      </w:pPr>
    </w:p>
    <w:p w14:paraId="54655549" w14:textId="77777777" w:rsidR="00B84D06" w:rsidRDefault="00B84D06">
      <w:pPr>
        <w:pStyle w:val="BodyText"/>
        <w:rPr>
          <w:sz w:val="20"/>
        </w:rPr>
      </w:pPr>
    </w:p>
    <w:p w14:paraId="4E85A91C" w14:textId="77777777" w:rsidR="00B84D06" w:rsidRDefault="00B84D06">
      <w:pPr>
        <w:pStyle w:val="BodyText"/>
        <w:rPr>
          <w:sz w:val="20"/>
        </w:rPr>
      </w:pPr>
    </w:p>
    <w:p w14:paraId="78B57DF8" w14:textId="77777777" w:rsidR="00B84D06" w:rsidRDefault="00B84D06">
      <w:pPr>
        <w:pStyle w:val="BodyText"/>
        <w:rPr>
          <w:sz w:val="20"/>
        </w:rPr>
      </w:pPr>
    </w:p>
    <w:p w14:paraId="65AE9B63" w14:textId="77777777" w:rsidR="00B84D06" w:rsidRDefault="00B84D06">
      <w:pPr>
        <w:pStyle w:val="BodyText"/>
        <w:rPr>
          <w:sz w:val="20"/>
        </w:rPr>
      </w:pPr>
    </w:p>
    <w:p w14:paraId="768C0E63" w14:textId="77777777" w:rsidR="00B84D06" w:rsidRDefault="00B84D06">
      <w:pPr>
        <w:pStyle w:val="BodyText"/>
        <w:spacing w:before="3"/>
        <w:rPr>
          <w:sz w:val="21"/>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1056"/>
        <w:gridCol w:w="1589"/>
        <w:gridCol w:w="4008"/>
        <w:gridCol w:w="1471"/>
      </w:tblGrid>
      <w:tr w:rsidR="00B84D06" w14:paraId="073CD353" w14:textId="77777777">
        <w:trPr>
          <w:trHeight w:val="265"/>
        </w:trPr>
        <w:tc>
          <w:tcPr>
            <w:tcW w:w="895" w:type="dxa"/>
          </w:tcPr>
          <w:p w14:paraId="7610DB9B" w14:textId="77777777" w:rsidR="00B84D06" w:rsidRDefault="00A75683">
            <w:pPr>
              <w:pStyle w:val="TableParagraph"/>
              <w:spacing w:before="4" w:line="242" w:lineRule="exact"/>
              <w:rPr>
                <w:rFonts w:ascii="Calibri"/>
              </w:rPr>
            </w:pPr>
            <w:r>
              <w:rPr>
                <w:rFonts w:ascii="Calibri"/>
              </w:rPr>
              <w:t>Version</w:t>
            </w:r>
          </w:p>
        </w:tc>
        <w:tc>
          <w:tcPr>
            <w:tcW w:w="1056" w:type="dxa"/>
          </w:tcPr>
          <w:p w14:paraId="7FC5BC05" w14:textId="77777777" w:rsidR="00B84D06" w:rsidRDefault="00A75683">
            <w:pPr>
              <w:pStyle w:val="TableParagraph"/>
              <w:spacing w:before="4" w:line="242" w:lineRule="exact"/>
              <w:ind w:left="108"/>
              <w:rPr>
                <w:rFonts w:ascii="Calibri"/>
              </w:rPr>
            </w:pPr>
            <w:r>
              <w:rPr>
                <w:rFonts w:ascii="Calibri"/>
              </w:rPr>
              <w:t>Date</w:t>
            </w:r>
          </w:p>
        </w:tc>
        <w:tc>
          <w:tcPr>
            <w:tcW w:w="1589" w:type="dxa"/>
          </w:tcPr>
          <w:p w14:paraId="5FCB0F9D" w14:textId="77777777" w:rsidR="00B84D06" w:rsidRDefault="00A75683">
            <w:pPr>
              <w:pStyle w:val="TableParagraph"/>
              <w:spacing w:before="4" w:line="242" w:lineRule="exact"/>
              <w:rPr>
                <w:rFonts w:ascii="Calibri"/>
              </w:rPr>
            </w:pPr>
            <w:r>
              <w:rPr>
                <w:rFonts w:ascii="Calibri"/>
              </w:rPr>
              <w:t>Approved by</w:t>
            </w:r>
          </w:p>
        </w:tc>
        <w:tc>
          <w:tcPr>
            <w:tcW w:w="4008" w:type="dxa"/>
          </w:tcPr>
          <w:p w14:paraId="0C22E75C" w14:textId="77777777" w:rsidR="00B84D06" w:rsidRDefault="00A75683">
            <w:pPr>
              <w:pStyle w:val="TableParagraph"/>
              <w:spacing w:before="4" w:line="242" w:lineRule="exact"/>
              <w:rPr>
                <w:rFonts w:ascii="Calibri"/>
              </w:rPr>
            </w:pPr>
            <w:r>
              <w:rPr>
                <w:rFonts w:ascii="Calibri"/>
              </w:rPr>
              <w:t>Amendment(s)</w:t>
            </w:r>
          </w:p>
        </w:tc>
        <w:tc>
          <w:tcPr>
            <w:tcW w:w="1471" w:type="dxa"/>
          </w:tcPr>
          <w:p w14:paraId="3212686C" w14:textId="77777777" w:rsidR="00B84D06" w:rsidRDefault="00A75683">
            <w:pPr>
              <w:pStyle w:val="TableParagraph"/>
              <w:spacing w:before="4" w:line="242" w:lineRule="exact"/>
              <w:ind w:left="105"/>
              <w:rPr>
                <w:rFonts w:ascii="Calibri"/>
              </w:rPr>
            </w:pPr>
            <w:r>
              <w:rPr>
                <w:rFonts w:ascii="Calibri"/>
              </w:rPr>
              <w:t>Author</w:t>
            </w:r>
          </w:p>
        </w:tc>
      </w:tr>
      <w:tr w:rsidR="00B84D06" w14:paraId="79F067BB" w14:textId="77777777">
        <w:trPr>
          <w:trHeight w:val="268"/>
        </w:trPr>
        <w:tc>
          <w:tcPr>
            <w:tcW w:w="895" w:type="dxa"/>
          </w:tcPr>
          <w:p w14:paraId="4383D3B2" w14:textId="77777777" w:rsidR="00B84D06" w:rsidRDefault="00A75683">
            <w:pPr>
              <w:pStyle w:val="TableParagraph"/>
              <w:spacing w:before="6" w:line="242" w:lineRule="exact"/>
              <w:rPr>
                <w:rFonts w:ascii="Calibri"/>
              </w:rPr>
            </w:pPr>
            <w:r>
              <w:rPr>
                <w:rFonts w:ascii="Calibri"/>
              </w:rPr>
              <w:t>1.0</w:t>
            </w:r>
          </w:p>
        </w:tc>
        <w:tc>
          <w:tcPr>
            <w:tcW w:w="1056" w:type="dxa"/>
          </w:tcPr>
          <w:p w14:paraId="335D2483" w14:textId="77777777" w:rsidR="00B84D06" w:rsidRDefault="00A75683">
            <w:pPr>
              <w:pStyle w:val="TableParagraph"/>
              <w:spacing w:before="6" w:line="242" w:lineRule="exact"/>
              <w:ind w:left="108"/>
              <w:rPr>
                <w:rFonts w:ascii="Calibri"/>
              </w:rPr>
            </w:pPr>
            <w:r>
              <w:rPr>
                <w:rFonts w:ascii="Calibri"/>
              </w:rPr>
              <w:t>31/12/16</w:t>
            </w:r>
          </w:p>
        </w:tc>
        <w:tc>
          <w:tcPr>
            <w:tcW w:w="1589" w:type="dxa"/>
          </w:tcPr>
          <w:p w14:paraId="174E8F0F" w14:textId="77777777" w:rsidR="00B84D06" w:rsidRDefault="00A75683">
            <w:pPr>
              <w:pStyle w:val="TableParagraph"/>
              <w:spacing w:before="6" w:line="242" w:lineRule="exact"/>
              <w:rPr>
                <w:rFonts w:ascii="Calibri"/>
              </w:rPr>
            </w:pPr>
            <w:r>
              <w:rPr>
                <w:rFonts w:ascii="Calibri"/>
              </w:rPr>
              <w:t>R Sendall</w:t>
            </w:r>
          </w:p>
        </w:tc>
        <w:tc>
          <w:tcPr>
            <w:tcW w:w="4008" w:type="dxa"/>
          </w:tcPr>
          <w:p w14:paraId="3BD2E148" w14:textId="77777777" w:rsidR="00B84D06" w:rsidRDefault="00A75683">
            <w:pPr>
              <w:pStyle w:val="TableParagraph"/>
              <w:spacing w:before="6" w:line="242" w:lineRule="exact"/>
              <w:rPr>
                <w:rFonts w:ascii="Calibri"/>
              </w:rPr>
            </w:pPr>
            <w:r>
              <w:rPr>
                <w:rFonts w:ascii="Calibri"/>
              </w:rPr>
              <w:t>Existing policy transferred to new template</w:t>
            </w:r>
          </w:p>
        </w:tc>
        <w:tc>
          <w:tcPr>
            <w:tcW w:w="1471" w:type="dxa"/>
          </w:tcPr>
          <w:p w14:paraId="24194ECA" w14:textId="77777777" w:rsidR="00B84D06" w:rsidRDefault="00A75683">
            <w:pPr>
              <w:pStyle w:val="TableParagraph"/>
              <w:spacing w:before="6" w:line="242" w:lineRule="exact"/>
              <w:ind w:left="105"/>
              <w:rPr>
                <w:rFonts w:ascii="Calibri"/>
              </w:rPr>
            </w:pPr>
            <w:r>
              <w:rPr>
                <w:rFonts w:ascii="Calibri"/>
              </w:rPr>
              <w:t>N Oakley</w:t>
            </w:r>
          </w:p>
        </w:tc>
      </w:tr>
      <w:tr w:rsidR="00B84D06" w14:paraId="48D45DBF" w14:textId="77777777">
        <w:trPr>
          <w:trHeight w:val="268"/>
        </w:trPr>
        <w:tc>
          <w:tcPr>
            <w:tcW w:w="895" w:type="dxa"/>
          </w:tcPr>
          <w:p w14:paraId="16C874A9" w14:textId="77777777" w:rsidR="00B84D06" w:rsidRDefault="00A75683">
            <w:pPr>
              <w:pStyle w:val="TableParagraph"/>
              <w:spacing w:before="4" w:line="244" w:lineRule="exact"/>
              <w:rPr>
                <w:rFonts w:ascii="Calibri"/>
              </w:rPr>
            </w:pPr>
            <w:r>
              <w:rPr>
                <w:rFonts w:ascii="Calibri"/>
              </w:rPr>
              <w:t>1.1</w:t>
            </w:r>
          </w:p>
        </w:tc>
        <w:tc>
          <w:tcPr>
            <w:tcW w:w="1056" w:type="dxa"/>
          </w:tcPr>
          <w:p w14:paraId="23303776" w14:textId="77777777" w:rsidR="00B84D06" w:rsidRDefault="00A75683">
            <w:pPr>
              <w:pStyle w:val="TableParagraph"/>
              <w:spacing w:before="4" w:line="244" w:lineRule="exact"/>
              <w:ind w:left="108"/>
              <w:rPr>
                <w:rFonts w:ascii="Calibri"/>
              </w:rPr>
            </w:pPr>
            <w:r>
              <w:rPr>
                <w:rFonts w:ascii="Calibri"/>
              </w:rPr>
              <w:t>20/09/17</w:t>
            </w:r>
          </w:p>
        </w:tc>
        <w:tc>
          <w:tcPr>
            <w:tcW w:w="1589" w:type="dxa"/>
          </w:tcPr>
          <w:p w14:paraId="0BCC68F6" w14:textId="77777777" w:rsidR="00B84D06" w:rsidRDefault="00A75683">
            <w:pPr>
              <w:pStyle w:val="TableParagraph"/>
              <w:spacing w:before="4" w:line="244" w:lineRule="exact"/>
              <w:rPr>
                <w:rFonts w:ascii="Calibri"/>
              </w:rPr>
            </w:pPr>
            <w:r>
              <w:rPr>
                <w:rFonts w:ascii="Calibri"/>
              </w:rPr>
              <w:t>Court</w:t>
            </w:r>
          </w:p>
        </w:tc>
        <w:tc>
          <w:tcPr>
            <w:tcW w:w="4008" w:type="dxa"/>
          </w:tcPr>
          <w:p w14:paraId="3BE35698" w14:textId="77777777" w:rsidR="00B84D06" w:rsidRDefault="00A75683">
            <w:pPr>
              <w:pStyle w:val="TableParagraph"/>
              <w:spacing w:before="4" w:line="244" w:lineRule="exact"/>
              <w:rPr>
                <w:rFonts w:ascii="Calibri"/>
              </w:rPr>
            </w:pPr>
            <w:r>
              <w:rPr>
                <w:rFonts w:ascii="Calibri"/>
              </w:rPr>
              <w:t>New risk appetite statements approved.</w:t>
            </w:r>
          </w:p>
        </w:tc>
        <w:tc>
          <w:tcPr>
            <w:tcW w:w="1471" w:type="dxa"/>
          </w:tcPr>
          <w:p w14:paraId="1B7DEC06" w14:textId="77777777" w:rsidR="00B84D06" w:rsidRDefault="00A75683">
            <w:pPr>
              <w:pStyle w:val="TableParagraph"/>
              <w:spacing w:before="4" w:line="244" w:lineRule="exact"/>
              <w:ind w:left="105"/>
              <w:rPr>
                <w:rFonts w:ascii="Calibri"/>
              </w:rPr>
            </w:pPr>
            <w:r>
              <w:rPr>
                <w:rFonts w:ascii="Calibri"/>
              </w:rPr>
              <w:t>R Sendall</w:t>
            </w:r>
          </w:p>
        </w:tc>
      </w:tr>
      <w:tr w:rsidR="00176078" w14:paraId="1DE5B520" w14:textId="77777777">
        <w:trPr>
          <w:trHeight w:val="268"/>
        </w:trPr>
        <w:tc>
          <w:tcPr>
            <w:tcW w:w="895" w:type="dxa"/>
          </w:tcPr>
          <w:p w14:paraId="3D245FAD" w14:textId="7A48F32B" w:rsidR="00176078" w:rsidRDefault="00176078">
            <w:pPr>
              <w:pStyle w:val="TableParagraph"/>
              <w:spacing w:before="4" w:line="244" w:lineRule="exact"/>
              <w:rPr>
                <w:rFonts w:ascii="Calibri"/>
              </w:rPr>
            </w:pPr>
            <w:r>
              <w:rPr>
                <w:rFonts w:ascii="Calibri"/>
              </w:rPr>
              <w:t>2.0</w:t>
            </w:r>
          </w:p>
        </w:tc>
        <w:tc>
          <w:tcPr>
            <w:tcW w:w="1056" w:type="dxa"/>
          </w:tcPr>
          <w:p w14:paraId="37773BAD" w14:textId="2B5D7022" w:rsidR="00176078" w:rsidRDefault="00C53342">
            <w:pPr>
              <w:pStyle w:val="TableParagraph"/>
              <w:spacing w:before="4" w:line="244" w:lineRule="exact"/>
              <w:ind w:left="108"/>
              <w:rPr>
                <w:rFonts w:ascii="Calibri"/>
              </w:rPr>
            </w:pPr>
            <w:r>
              <w:rPr>
                <w:rFonts w:ascii="Calibri"/>
              </w:rPr>
              <w:t>19/10/22</w:t>
            </w:r>
          </w:p>
        </w:tc>
        <w:tc>
          <w:tcPr>
            <w:tcW w:w="1589" w:type="dxa"/>
          </w:tcPr>
          <w:p w14:paraId="74392ECA" w14:textId="2F69FB33" w:rsidR="00176078" w:rsidRDefault="00176078">
            <w:pPr>
              <w:pStyle w:val="TableParagraph"/>
              <w:spacing w:before="4" w:line="244" w:lineRule="exact"/>
              <w:rPr>
                <w:rFonts w:ascii="Calibri"/>
              </w:rPr>
            </w:pPr>
            <w:r>
              <w:rPr>
                <w:rFonts w:ascii="Calibri"/>
              </w:rPr>
              <w:t>Director of Corporate Governance</w:t>
            </w:r>
          </w:p>
        </w:tc>
        <w:tc>
          <w:tcPr>
            <w:tcW w:w="4008" w:type="dxa"/>
          </w:tcPr>
          <w:p w14:paraId="50C4FE82" w14:textId="11CCE9B5" w:rsidR="00176078" w:rsidRDefault="00176078">
            <w:pPr>
              <w:pStyle w:val="TableParagraph"/>
              <w:spacing w:before="4" w:line="244" w:lineRule="exact"/>
              <w:rPr>
                <w:rFonts w:ascii="Calibri"/>
              </w:rPr>
            </w:pPr>
            <w:r>
              <w:rPr>
                <w:rFonts w:ascii="Calibri"/>
              </w:rPr>
              <w:t>Minor technical review and job title amendments</w:t>
            </w:r>
          </w:p>
        </w:tc>
        <w:tc>
          <w:tcPr>
            <w:tcW w:w="1471" w:type="dxa"/>
          </w:tcPr>
          <w:p w14:paraId="30649645" w14:textId="693A6262" w:rsidR="00176078" w:rsidRDefault="00176078">
            <w:pPr>
              <w:pStyle w:val="TableParagraph"/>
              <w:spacing w:before="4" w:line="244" w:lineRule="exact"/>
              <w:ind w:left="105"/>
              <w:rPr>
                <w:rFonts w:ascii="Calibri"/>
              </w:rPr>
            </w:pPr>
            <w:r>
              <w:rPr>
                <w:rFonts w:ascii="Calibri"/>
              </w:rPr>
              <w:t>N Oakley</w:t>
            </w:r>
          </w:p>
        </w:tc>
      </w:tr>
      <w:tr w:rsidR="007E5880" w14:paraId="2A6E0173" w14:textId="77777777">
        <w:trPr>
          <w:trHeight w:val="268"/>
        </w:trPr>
        <w:tc>
          <w:tcPr>
            <w:tcW w:w="895" w:type="dxa"/>
          </w:tcPr>
          <w:p w14:paraId="6369CCAB" w14:textId="7456AB27" w:rsidR="007E5880" w:rsidRDefault="007E5880">
            <w:pPr>
              <w:pStyle w:val="TableParagraph"/>
              <w:spacing w:before="4" w:line="244" w:lineRule="exact"/>
              <w:rPr>
                <w:rFonts w:ascii="Calibri"/>
              </w:rPr>
            </w:pPr>
            <w:r>
              <w:rPr>
                <w:rFonts w:ascii="Calibri"/>
              </w:rPr>
              <w:t>2.1</w:t>
            </w:r>
          </w:p>
        </w:tc>
        <w:tc>
          <w:tcPr>
            <w:tcW w:w="1056" w:type="dxa"/>
          </w:tcPr>
          <w:p w14:paraId="6CDDB4FA" w14:textId="1731B5AA" w:rsidR="007E5880" w:rsidRDefault="007E5880">
            <w:pPr>
              <w:pStyle w:val="TableParagraph"/>
              <w:spacing w:before="4" w:line="244" w:lineRule="exact"/>
              <w:ind w:left="108"/>
              <w:rPr>
                <w:rFonts w:ascii="Calibri"/>
              </w:rPr>
            </w:pPr>
            <w:r>
              <w:rPr>
                <w:rFonts w:ascii="Calibri"/>
              </w:rPr>
              <w:t>18/08/26</w:t>
            </w:r>
          </w:p>
        </w:tc>
        <w:tc>
          <w:tcPr>
            <w:tcW w:w="1589" w:type="dxa"/>
          </w:tcPr>
          <w:p w14:paraId="1074DA80" w14:textId="5B6FC479" w:rsidR="007E5880" w:rsidRDefault="007E5880">
            <w:pPr>
              <w:pStyle w:val="TableParagraph"/>
              <w:spacing w:before="4" w:line="244" w:lineRule="exact"/>
              <w:rPr>
                <w:rFonts w:ascii="Calibri"/>
              </w:rPr>
            </w:pPr>
            <w:r>
              <w:rPr>
                <w:rFonts w:ascii="Calibri"/>
              </w:rPr>
              <w:t>N Oakley</w:t>
            </w:r>
          </w:p>
        </w:tc>
        <w:tc>
          <w:tcPr>
            <w:tcW w:w="4008" w:type="dxa"/>
          </w:tcPr>
          <w:p w14:paraId="6DEF27C1" w14:textId="7E980B7F" w:rsidR="007E5880" w:rsidRDefault="004A0422">
            <w:pPr>
              <w:pStyle w:val="TableParagraph"/>
              <w:spacing w:before="4" w:line="244" w:lineRule="exact"/>
              <w:rPr>
                <w:rFonts w:ascii="Calibri"/>
              </w:rPr>
            </w:pPr>
            <w:r>
              <w:rPr>
                <w:rFonts w:ascii="Calibri"/>
              </w:rPr>
              <w:t>Minor review; no substantive changes</w:t>
            </w:r>
          </w:p>
        </w:tc>
        <w:tc>
          <w:tcPr>
            <w:tcW w:w="1471" w:type="dxa"/>
          </w:tcPr>
          <w:p w14:paraId="0AD50D5B" w14:textId="5BD34D00" w:rsidR="007E5880" w:rsidRDefault="004A0422">
            <w:pPr>
              <w:pStyle w:val="TableParagraph"/>
              <w:spacing w:before="4" w:line="244" w:lineRule="exact"/>
              <w:ind w:left="105"/>
              <w:rPr>
                <w:rFonts w:ascii="Calibri"/>
              </w:rPr>
            </w:pPr>
            <w:r>
              <w:rPr>
                <w:rFonts w:ascii="Calibri"/>
              </w:rPr>
              <w:t>N Oakley</w:t>
            </w:r>
          </w:p>
        </w:tc>
      </w:tr>
    </w:tbl>
    <w:p w14:paraId="161D51BD" w14:textId="77777777" w:rsidR="00B84D06" w:rsidRDefault="00B84D06">
      <w:pPr>
        <w:spacing w:line="244" w:lineRule="exact"/>
        <w:sectPr w:rsidR="00B84D06">
          <w:pgSz w:w="11930" w:h="16860"/>
          <w:pgMar w:top="1040" w:right="1080" w:bottom="1560" w:left="1080" w:header="626" w:footer="1376" w:gutter="0"/>
          <w:cols w:space="720"/>
        </w:sectPr>
      </w:pPr>
    </w:p>
    <w:p w14:paraId="7DD581F8" w14:textId="77777777" w:rsidR="00B84D06" w:rsidRDefault="00A75683">
      <w:pPr>
        <w:tabs>
          <w:tab w:val="left" w:pos="7704"/>
        </w:tabs>
        <w:spacing w:before="33" w:after="9"/>
        <w:ind w:left="660"/>
        <w:rPr>
          <w:sz w:val="20"/>
        </w:rPr>
      </w:pPr>
      <w:r>
        <w:rPr>
          <w:color w:val="080808"/>
          <w:sz w:val="20"/>
        </w:rPr>
        <w:lastRenderedPageBreak/>
        <w:t>University of the Highlands</w:t>
      </w:r>
      <w:r>
        <w:rPr>
          <w:color w:val="080808"/>
          <w:spacing w:val="-13"/>
          <w:sz w:val="20"/>
        </w:rPr>
        <w:t xml:space="preserve"> </w:t>
      </w:r>
      <w:r>
        <w:rPr>
          <w:color w:val="080808"/>
          <w:sz w:val="20"/>
        </w:rPr>
        <w:t>and</w:t>
      </w:r>
      <w:r>
        <w:rPr>
          <w:color w:val="080808"/>
          <w:spacing w:val="-2"/>
          <w:sz w:val="20"/>
        </w:rPr>
        <w:t xml:space="preserve"> </w:t>
      </w:r>
      <w:r>
        <w:rPr>
          <w:color w:val="080808"/>
          <w:sz w:val="20"/>
        </w:rPr>
        <w:t>Islands</w:t>
      </w:r>
      <w:r>
        <w:rPr>
          <w:color w:val="080808"/>
          <w:sz w:val="20"/>
        </w:rPr>
        <w:tab/>
        <w:t>Risk Management</w:t>
      </w:r>
      <w:r>
        <w:rPr>
          <w:color w:val="080808"/>
          <w:spacing w:val="1"/>
          <w:sz w:val="20"/>
        </w:rPr>
        <w:t xml:space="preserve"> </w:t>
      </w:r>
      <w:r>
        <w:rPr>
          <w:color w:val="080808"/>
          <w:sz w:val="20"/>
        </w:rPr>
        <w:t>Policy</w:t>
      </w:r>
    </w:p>
    <w:p w14:paraId="02E7FDC9" w14:textId="37D40063" w:rsidR="00B84D06" w:rsidRDefault="00384BB6">
      <w:pPr>
        <w:pStyle w:val="BodyText"/>
        <w:spacing w:line="20" w:lineRule="exact"/>
        <w:ind w:left="627"/>
        <w:rPr>
          <w:sz w:val="2"/>
        </w:rPr>
      </w:pPr>
      <w:r>
        <w:rPr>
          <w:noProof/>
          <w:sz w:val="2"/>
        </w:rPr>
        <mc:AlternateContent>
          <mc:Choice Requires="wpg">
            <w:drawing>
              <wp:inline distT="0" distB="0" distL="0" distR="0" wp14:anchorId="5B585A44" wp14:editId="6906756F">
                <wp:extent cx="5948045" cy="6350"/>
                <wp:effectExtent l="13970" t="10795" r="10160" b="1905"/>
                <wp:docPr id="138920674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8045" cy="6350"/>
                          <a:chOff x="0" y="0"/>
                          <a:chExt cx="9367" cy="10"/>
                        </a:xfrm>
                      </wpg:grpSpPr>
                      <wps:wsp>
                        <wps:cNvPr id="1703826521" name="Line 3"/>
                        <wps:cNvCnPr>
                          <a:cxnSpLocks noChangeShapeType="1"/>
                        </wps:cNvCnPr>
                        <wps:spPr bwMode="auto">
                          <a:xfrm>
                            <a:off x="0" y="5"/>
                            <a:ext cx="9367" cy="0"/>
                          </a:xfrm>
                          <a:prstGeom prst="line">
                            <a:avLst/>
                          </a:prstGeom>
                          <a:noFill/>
                          <a:ln w="6109">
                            <a:solidFill>
                              <a:srgbClr val="4E0051"/>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71528FF" id="Group 2" o:spid="_x0000_s1026" style="width:468.35pt;height:.5pt;mso-position-horizontal-relative:char;mso-position-vertical-relative:line" coordsize="936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">
                <v:line id="Line 3" o:spid="_x0000_s1027" style="position:absolute;visibility:visible;mso-wrap-style:square" from="0,5" to="936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" strokecolor="#4e0051" strokeweight=".16969mm"/>
                <w10:anchorlock/>
              </v:group>
            </w:pict>
          </mc:Fallback>
        </mc:AlternateContent>
      </w:r>
    </w:p>
    <w:p w14:paraId="18FFB0B5" w14:textId="77777777" w:rsidR="00B84D06" w:rsidRDefault="00B84D06">
      <w:pPr>
        <w:pStyle w:val="BodyText"/>
        <w:rPr>
          <w:sz w:val="20"/>
        </w:rPr>
      </w:pPr>
    </w:p>
    <w:p w14:paraId="242ADB70" w14:textId="77777777" w:rsidR="00B84D06" w:rsidRDefault="00B84D06">
      <w:pPr>
        <w:pStyle w:val="BodyText"/>
        <w:spacing w:before="3"/>
        <w:rPr>
          <w:sz w:val="16"/>
        </w:rPr>
      </w:pPr>
    </w:p>
    <w:p w14:paraId="1B310D57" w14:textId="77777777" w:rsidR="00B84D06" w:rsidRDefault="00A75683">
      <w:pPr>
        <w:pStyle w:val="BodyText"/>
        <w:spacing w:after="7"/>
        <w:ind w:left="1318"/>
      </w:pPr>
      <w:r>
        <w:t>Appendix 1</w:t>
      </w:r>
    </w:p>
    <w:p w14:paraId="43D9782E" w14:textId="77777777" w:rsidR="00B84D06" w:rsidRDefault="00A75683">
      <w:pPr>
        <w:ind w:left="110"/>
        <w:rPr>
          <w:sz w:val="20"/>
        </w:rPr>
      </w:pPr>
      <w:r>
        <w:rPr>
          <w:noProof/>
          <w:position w:val="5"/>
          <w:sz w:val="20"/>
        </w:rPr>
        <w:drawing>
          <wp:inline distT="0" distB="0" distL="0" distR="0" wp14:anchorId="678BCEAC" wp14:editId="798492DE">
            <wp:extent cx="5062277" cy="1624107"/>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5062277" cy="1624107"/>
                    </a:xfrm>
                    <a:prstGeom prst="rect">
                      <a:avLst/>
                    </a:prstGeom>
                  </pic:spPr>
                </pic:pic>
              </a:graphicData>
            </a:graphic>
          </wp:inline>
        </w:drawing>
      </w:r>
      <w:r>
        <w:rPr>
          <w:rFonts w:ascii="Times New Roman"/>
          <w:spacing w:val="87"/>
          <w:position w:val="5"/>
          <w:sz w:val="20"/>
        </w:rPr>
        <w:t xml:space="preserve"> </w:t>
      </w:r>
      <w:r>
        <w:rPr>
          <w:noProof/>
          <w:spacing w:val="87"/>
          <w:sz w:val="20"/>
        </w:rPr>
        <w:drawing>
          <wp:inline distT="0" distB="0" distL="0" distR="0" wp14:anchorId="6E034E8C" wp14:editId="0FE95376">
            <wp:extent cx="4893095" cy="163420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5" cstate="print"/>
                    <a:stretch>
                      <a:fillRect/>
                    </a:stretch>
                  </pic:blipFill>
                  <pic:spPr>
                    <a:xfrm>
                      <a:off x="0" y="0"/>
                      <a:ext cx="4893095" cy="1634204"/>
                    </a:xfrm>
                    <a:prstGeom prst="rect">
                      <a:avLst/>
                    </a:prstGeom>
                  </pic:spPr>
                </pic:pic>
              </a:graphicData>
            </a:graphic>
          </wp:inline>
        </w:drawing>
      </w:r>
    </w:p>
    <w:p w14:paraId="08E451AF" w14:textId="77777777" w:rsidR="00B84D06" w:rsidRDefault="00B84D06">
      <w:pPr>
        <w:pStyle w:val="BodyText"/>
        <w:spacing w:before="4"/>
        <w:rPr>
          <w:sz w:val="7"/>
        </w:rPr>
      </w:pPr>
    </w:p>
    <w:p w14:paraId="3A1E594D" w14:textId="77777777" w:rsidR="00B84D06" w:rsidRDefault="00A75683">
      <w:pPr>
        <w:pStyle w:val="BodyText"/>
        <w:ind w:left="1280"/>
        <w:rPr>
          <w:sz w:val="20"/>
        </w:rPr>
      </w:pPr>
      <w:r>
        <w:rPr>
          <w:noProof/>
          <w:sz w:val="20"/>
        </w:rPr>
        <w:drawing>
          <wp:inline distT="0" distB="0" distL="0" distR="0" wp14:anchorId="0533A06D" wp14:editId="289E1ECF">
            <wp:extent cx="7835734" cy="3766756"/>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6" cstate="print"/>
                    <a:stretch>
                      <a:fillRect/>
                    </a:stretch>
                  </pic:blipFill>
                  <pic:spPr>
                    <a:xfrm>
                      <a:off x="0" y="0"/>
                      <a:ext cx="7835734" cy="3766756"/>
                    </a:xfrm>
                    <a:prstGeom prst="rect">
                      <a:avLst/>
                    </a:prstGeom>
                  </pic:spPr>
                </pic:pic>
              </a:graphicData>
            </a:graphic>
          </wp:inline>
        </w:drawing>
      </w:r>
    </w:p>
    <w:sectPr w:rsidR="00B84D06">
      <w:headerReference w:type="default" r:id="rId17"/>
      <w:footerReference w:type="default" r:id="rId18"/>
      <w:pgSz w:w="16850" w:h="11920" w:orient="landscape"/>
      <w:pgMar w:top="540" w:right="160" w:bottom="280" w:left="6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AD3B8" w14:textId="77777777" w:rsidR="00C25A8D" w:rsidRDefault="00C25A8D">
      <w:r>
        <w:separator/>
      </w:r>
    </w:p>
  </w:endnote>
  <w:endnote w:type="continuationSeparator" w:id="0">
    <w:p w14:paraId="560CBA35" w14:textId="77777777" w:rsidR="00C25A8D" w:rsidRDefault="00C25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AA44B" w14:textId="4792C886" w:rsidR="00B84D06" w:rsidRDefault="00384BB6">
    <w:pPr>
      <w:pStyle w:val="BodyText"/>
      <w:spacing w:line="14" w:lineRule="auto"/>
      <w:rPr>
        <w:sz w:val="20"/>
      </w:rPr>
    </w:pPr>
    <w:r>
      <w:rPr>
        <w:noProof/>
      </w:rPr>
      <mc:AlternateContent>
        <mc:Choice Requires="wpg">
          <w:drawing>
            <wp:anchor distT="0" distB="0" distL="114300" distR="114300" simplePos="0" relativeHeight="251223040" behindDoc="1" locked="0" layoutInCell="1" allowOverlap="1" wp14:anchorId="21D53734" wp14:editId="362F1704">
              <wp:simplePos x="0" y="0"/>
              <wp:positionH relativeFrom="page">
                <wp:posOffset>1016635</wp:posOffset>
              </wp:positionH>
              <wp:positionV relativeFrom="page">
                <wp:posOffset>9648190</wp:posOffset>
              </wp:positionV>
              <wp:extent cx="5530215" cy="421005"/>
              <wp:effectExtent l="0" t="0" r="0" b="0"/>
              <wp:wrapNone/>
              <wp:docPr id="593139710"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0215" cy="421005"/>
                        <a:chOff x="1601" y="15194"/>
                        <a:chExt cx="8709" cy="663"/>
                      </a:xfrm>
                    </wpg:grpSpPr>
                    <wps:wsp>
                      <wps:cNvPr id="804509233" name="Line 7"/>
                      <wps:cNvCnPr>
                        <a:cxnSpLocks noChangeShapeType="1"/>
                      </wps:cNvCnPr>
                      <wps:spPr bwMode="auto">
                        <a:xfrm>
                          <a:off x="1601" y="15199"/>
                          <a:ext cx="425" cy="0"/>
                        </a:xfrm>
                        <a:prstGeom prst="line">
                          <a:avLst/>
                        </a:prstGeom>
                        <a:noFill/>
                        <a:ln w="6109">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298783128" name="AutoShape 6"/>
                      <wps:cNvSpPr>
                        <a:spLocks/>
                      </wps:cNvSpPr>
                      <wps:spPr bwMode="auto">
                        <a:xfrm>
                          <a:off x="0" y="16850"/>
                          <a:ext cx="8284" cy="2"/>
                        </a:xfrm>
                        <a:custGeom>
                          <a:avLst/>
                          <a:gdLst>
                            <a:gd name="T0" fmla="*/ 2026 w 8284"/>
                            <a:gd name="T1" fmla="*/ 2035 w 8284"/>
                            <a:gd name="T2" fmla="*/ 2035 w 8284"/>
                            <a:gd name="T3" fmla="*/ 10310 w 8284"/>
                          </a:gdLst>
                          <a:ahLst/>
                          <a:cxnLst>
                            <a:cxn ang="0">
                              <a:pos x="T0" y="0"/>
                            </a:cxn>
                            <a:cxn ang="0">
                              <a:pos x="T1" y="0"/>
                            </a:cxn>
                            <a:cxn ang="0">
                              <a:pos x="T2" y="0"/>
                            </a:cxn>
                            <a:cxn ang="0">
                              <a:pos x="T3" y="0"/>
                            </a:cxn>
                          </a:cxnLst>
                          <a:rect l="0" t="0" r="r" b="b"/>
                          <a:pathLst>
                            <a:path w="8284">
                              <a:moveTo>
                                <a:pt x="2026" y="-1651"/>
                              </a:moveTo>
                              <a:lnTo>
                                <a:pt x="2035" y="-1651"/>
                              </a:lnTo>
                              <a:moveTo>
                                <a:pt x="2035" y="-1651"/>
                              </a:moveTo>
                              <a:lnTo>
                                <a:pt x="10310" y="-1651"/>
                              </a:lnTo>
                            </a:path>
                          </a:pathLst>
                        </a:custGeom>
                        <a:noFill/>
                        <a:ln w="6109">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9420251" name="Line 5"/>
                      <wps:cNvCnPr>
                        <a:cxnSpLocks noChangeShapeType="1"/>
                      </wps:cNvCnPr>
                      <wps:spPr bwMode="auto">
                        <a:xfrm>
                          <a:off x="2047" y="15204"/>
                          <a:ext cx="0" cy="653"/>
                        </a:xfrm>
                        <a:prstGeom prst="line">
                          <a:avLst/>
                        </a:prstGeom>
                        <a:noFill/>
                        <a:ln w="27432">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9D369E9" id="Group 4" o:spid="_x0000_s1026" style="position:absolute;margin-left:80.05pt;margin-top:759.7pt;width:435.45pt;height:33.15pt;z-index:-252093440;mso-position-horizontal-relative:page;mso-position-vertical-relative:page" coordorigin="1601,15194" coordsize="87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">
              <v:line id="Line 7" o:spid="_x0000_s1027" style="position:absolute;visibility:visible;mso-wrap-style:square" from="1601,15199" to="2026,151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" strokecolor="black [3213]" strokeweight=".16969mm"/>
              <v:shape id="AutoShape 6" o:spid="_x0000_s1028" style="position:absolute;top:16850;width:8284;height:2;visibility:visible;mso-wrap-style:square;v-text-anchor:top" coordsize="82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" path="m2026,-1651r9,m2035,-1651r8275,e" filled="f" strokecolor="black [3213]" strokeweight=".16969mm">
                <v:path arrowok="t" o:connecttype="custom" o:connectlocs="2026,0;2035,0;2035,0;10310,0" o:connectangles="0,0,0,0"/>
              </v:shape>
              <v:line id="Line 5" o:spid="_x0000_s1029" style="position:absolute;visibility:visible;mso-wrap-style:square" from="2047,15204" to="2047,15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" strokecolor="black [3213]" strokeweight="2.16pt"/>
              <w10:wrap anchorx="page" anchory="page"/>
            </v:group>
          </w:pict>
        </mc:Fallback>
      </mc:AlternateContent>
    </w:r>
    <w:r>
      <w:rPr>
        <w:noProof/>
      </w:rPr>
      <mc:AlternateContent>
        <mc:Choice Requires="wps">
          <w:drawing>
            <wp:anchor distT="0" distB="0" distL="114300" distR="114300" simplePos="0" relativeHeight="251224064" behindDoc="1" locked="0" layoutInCell="1" allowOverlap="1" wp14:anchorId="0BB37D57" wp14:editId="179208E3">
              <wp:simplePos x="0" y="0"/>
              <wp:positionH relativeFrom="page">
                <wp:posOffset>1040765</wp:posOffset>
              </wp:positionH>
              <wp:positionV relativeFrom="page">
                <wp:posOffset>9709785</wp:posOffset>
              </wp:positionV>
              <wp:extent cx="160655" cy="152400"/>
              <wp:effectExtent l="0" t="0" r="0" b="0"/>
              <wp:wrapNone/>
              <wp:docPr id="14570967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5EAF0" w14:textId="77777777" w:rsidR="00B84D06" w:rsidRDefault="00A75683">
                          <w:pPr>
                            <w:spacing w:line="223" w:lineRule="exact"/>
                            <w:ind w:left="91"/>
                            <w:rPr>
                              <w:rFonts w:ascii="Calibri Light"/>
                              <w:sz w:val="20"/>
                            </w:rPr>
                          </w:pPr>
                          <w:r>
                            <w:fldChar w:fldCharType="begin"/>
                          </w:r>
                          <w:r>
                            <w:rPr>
                              <w:rFonts w:ascii="Calibri Light"/>
                              <w:color w:val="080808"/>
                              <w:w w:val="99"/>
                              <w:sz w:val="20"/>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37D57" id="_x0000_t202" coordsize="21600,21600" o:spt="202" path="m,l,21600r21600,l21600,xe">
              <v:stroke joinstyle="miter"/>
              <v:path gradientshapeok="t" o:connecttype="rect"/>
            </v:shapetype>
            <v:shape id="Text Box 3" o:spid="_x0000_s1028" type="#_x0000_t202" style="position:absolute;margin-left:81.95pt;margin-top:764.55pt;width:12.65pt;height:12pt;z-index:-252092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" filled="f" stroked="f">
              <v:textbox inset="0,0,0,0">
                <w:txbxContent>
                  <w:p w14:paraId="01A5EAF0" w14:textId="77777777" w:rsidR="00B84D06" w:rsidRDefault="00A75683">
                    <w:pPr>
                      <w:spacing w:line="223" w:lineRule="exact"/>
                      <w:ind w:left="91"/>
                      <w:rPr>
                        <w:rFonts w:ascii="Calibri Light"/>
                        <w:sz w:val="20"/>
                      </w:rPr>
                    </w:pPr>
                    <w:r>
                      <w:fldChar w:fldCharType="begin"/>
                    </w:r>
                    <w:r>
                      <w:rPr>
                        <w:rFonts w:ascii="Calibri Light"/>
                        <w:color w:val="080808"/>
                        <w:w w:val="99"/>
                        <w:sz w:val="20"/>
                      </w:rPr>
                      <w:instrText xml:space="preserve"> PAGE </w:instrText>
                    </w:r>
                    <w:r>
                      <w:fldChar w:fldCharType="separate"/>
                    </w:r>
                    <w:r>
                      <w:t>1</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251225088" behindDoc="1" locked="0" layoutInCell="1" allowOverlap="1" wp14:anchorId="7FDC35F6" wp14:editId="318B1361">
              <wp:simplePos x="0" y="0"/>
              <wp:positionH relativeFrom="page">
                <wp:posOffset>1357630</wp:posOffset>
              </wp:positionH>
              <wp:positionV relativeFrom="page">
                <wp:posOffset>9711690</wp:posOffset>
              </wp:positionV>
              <wp:extent cx="1387475" cy="328930"/>
              <wp:effectExtent l="0" t="0" r="0" b="0"/>
              <wp:wrapNone/>
              <wp:docPr id="4597078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475" cy="32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143C2" w14:textId="77777777" w:rsidR="00B84D06" w:rsidRDefault="00A75683">
                          <w:pPr>
                            <w:pStyle w:val="BodyText"/>
                            <w:spacing w:line="239" w:lineRule="exact"/>
                            <w:ind w:left="20"/>
                            <w:rPr>
                              <w:rFonts w:ascii="Calibri Light"/>
                            </w:rPr>
                          </w:pPr>
                          <w:r>
                            <w:rPr>
                              <w:rFonts w:ascii="Calibri Light"/>
                              <w:color w:val="080808"/>
                            </w:rPr>
                            <w:t>Risk Management Policy</w:t>
                          </w:r>
                        </w:p>
                        <w:p w14:paraId="72B115C2" w14:textId="77777777" w:rsidR="00B84D06" w:rsidRDefault="00A75683">
                          <w:pPr>
                            <w:pStyle w:val="BodyText"/>
                            <w:spacing w:line="263" w:lineRule="exact"/>
                            <w:ind w:left="20"/>
                            <w:rPr>
                              <w:rFonts w:ascii="Calibri Light"/>
                            </w:rPr>
                          </w:pPr>
                          <w:hyperlink r:id="rId1">
                            <w:r>
                              <w:rPr>
                                <w:rFonts w:ascii="Calibri Light"/>
                                <w:color w:val="080808"/>
                                <w:u w:val="single" w:color="080808"/>
                              </w:rPr>
                              <w:t>www.uhi.ac.uk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DC35F6" id="Text Box 2" o:spid="_x0000_s1029" type="#_x0000_t202" style="position:absolute;margin-left:106.9pt;margin-top:764.7pt;width:109.25pt;height:25.9pt;z-index:-252091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" filled="f" stroked="f">
              <v:textbox inset="0,0,0,0">
                <w:txbxContent>
                  <w:p w14:paraId="11A143C2" w14:textId="77777777" w:rsidR="00B84D06" w:rsidRDefault="00A75683">
                    <w:pPr>
                      <w:pStyle w:val="BodyText"/>
                      <w:spacing w:line="239" w:lineRule="exact"/>
                      <w:ind w:left="20"/>
                      <w:rPr>
                        <w:rFonts w:ascii="Calibri Light"/>
                      </w:rPr>
                    </w:pPr>
                    <w:r>
                      <w:rPr>
                        <w:rFonts w:ascii="Calibri Light"/>
                        <w:color w:val="080808"/>
                      </w:rPr>
                      <w:t>Risk Management Policy</w:t>
                    </w:r>
                  </w:p>
                  <w:p w14:paraId="72B115C2" w14:textId="77777777" w:rsidR="00B84D06" w:rsidRDefault="00A75683">
                    <w:pPr>
                      <w:pStyle w:val="BodyText"/>
                      <w:spacing w:line="263" w:lineRule="exact"/>
                      <w:ind w:left="20"/>
                      <w:rPr>
                        <w:rFonts w:ascii="Calibri Light"/>
                      </w:rPr>
                    </w:pPr>
                    <w:hyperlink r:id="rId2">
                      <w:r>
                        <w:rPr>
                          <w:rFonts w:ascii="Calibri Light"/>
                          <w:color w:val="080808"/>
                          <w:u w:val="single" w:color="080808"/>
                        </w:rPr>
                        <w:t>www.uhi.ac.uk</w:t>
                      </w:r>
                    </w:hyperlink>
                  </w:p>
                </w:txbxContent>
              </v:textbox>
              <w10:wrap anchorx="page" anchory="page"/>
            </v:shape>
          </w:pict>
        </mc:Fallback>
      </mc:AlternateContent>
    </w:r>
    <w:r>
      <w:rPr>
        <w:noProof/>
      </w:rPr>
      <mc:AlternateContent>
        <mc:Choice Requires="wps">
          <w:drawing>
            <wp:anchor distT="0" distB="0" distL="114300" distR="114300" simplePos="0" relativeHeight="251226112" behindDoc="1" locked="0" layoutInCell="1" allowOverlap="1" wp14:anchorId="3E0F29E2" wp14:editId="33FB8EC8">
              <wp:simplePos x="0" y="0"/>
              <wp:positionH relativeFrom="page">
                <wp:posOffset>5752465</wp:posOffset>
              </wp:positionH>
              <wp:positionV relativeFrom="page">
                <wp:posOffset>9884410</wp:posOffset>
              </wp:positionV>
              <wp:extent cx="732155" cy="165735"/>
              <wp:effectExtent l="0" t="0" r="0" b="0"/>
              <wp:wrapNone/>
              <wp:docPr id="4596764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5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8B71A" w14:textId="77777777" w:rsidR="00B84D06" w:rsidRDefault="00A75683">
                          <w:pPr>
                            <w:pStyle w:val="BodyText"/>
                            <w:spacing w:line="245" w:lineRule="exact"/>
                            <w:ind w:left="20"/>
                            <w:rPr>
                              <w:rFonts w:ascii="Calibri Light"/>
                            </w:rPr>
                          </w:pPr>
                          <w:r>
                            <w:rPr>
                              <w:rFonts w:ascii="Calibri Light"/>
                              <w:color w:val="080808"/>
                            </w:rPr>
                            <w:t>Page 1 of (7)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0F29E2" id="Text Box 1" o:spid="_x0000_s1030" type="#_x0000_t202" style="position:absolute;margin-left:452.95pt;margin-top:778.3pt;width:57.65pt;height:13.05pt;z-index:-252090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" filled="f" stroked="f">
              <v:textbox inset="0,0,0,0">
                <w:txbxContent>
                  <w:p w14:paraId="28E8B71A" w14:textId="77777777" w:rsidR="00B84D06" w:rsidRDefault="00A75683">
                    <w:pPr>
                      <w:pStyle w:val="BodyText"/>
                      <w:spacing w:line="245" w:lineRule="exact"/>
                      <w:ind w:left="20"/>
                      <w:rPr>
                        <w:rFonts w:ascii="Calibri Light"/>
                      </w:rPr>
                    </w:pPr>
                    <w:r>
                      <w:rPr>
                        <w:rFonts w:ascii="Calibri Light"/>
                        <w:color w:val="080808"/>
                      </w:rPr>
                      <w:t>Page 1 of (7)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4F06" w14:textId="77777777" w:rsidR="00B84D06" w:rsidRDefault="00B84D0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9FB87" w14:textId="77777777" w:rsidR="00C25A8D" w:rsidRDefault="00C25A8D">
      <w:r>
        <w:separator/>
      </w:r>
    </w:p>
  </w:footnote>
  <w:footnote w:type="continuationSeparator" w:id="0">
    <w:p w14:paraId="740FA119" w14:textId="77777777" w:rsidR="00C25A8D" w:rsidRDefault="00C25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280BA" w14:textId="77D86F34" w:rsidR="00B84D06" w:rsidRPr="00347544" w:rsidRDefault="00384BB6">
    <w:pPr>
      <w:pStyle w:val="BodyText"/>
      <w:spacing w:line="14" w:lineRule="auto"/>
      <w:rPr>
        <w:sz w:val="20"/>
      </w:rPr>
    </w:pPr>
    <w:r>
      <w:rPr>
        <w:noProof/>
      </w:rPr>
      <mc:AlternateContent>
        <mc:Choice Requires="wps">
          <w:drawing>
            <wp:anchor distT="0" distB="0" distL="114300" distR="114300" simplePos="0" relativeHeight="251219968" behindDoc="1" locked="0" layoutInCell="1" allowOverlap="1" wp14:anchorId="1D2B92A8" wp14:editId="3020DD59">
              <wp:simplePos x="0" y="0"/>
              <wp:positionH relativeFrom="page">
                <wp:posOffset>807720</wp:posOffset>
              </wp:positionH>
              <wp:positionV relativeFrom="page">
                <wp:posOffset>534670</wp:posOffset>
              </wp:positionV>
              <wp:extent cx="5948045" cy="0"/>
              <wp:effectExtent l="0" t="0" r="0" b="0"/>
              <wp:wrapNone/>
              <wp:docPr id="100645657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8045" cy="0"/>
                      </a:xfrm>
                      <a:prstGeom prst="line">
                        <a:avLst/>
                      </a:prstGeom>
                      <a:noFill/>
                      <a:ln w="6109">
                        <a:solidFill>
                          <a:srgbClr val="4E005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EFDF6F" id="Line 10" o:spid="_x0000_s1026" style="position:absolute;z-index:-252096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3.6pt,42.1pt" to="531.95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" strokecolor="#4e0051" strokeweight=".16969mm">
              <w10:wrap anchorx="page" anchory="page"/>
            </v:line>
          </w:pict>
        </mc:Fallback>
      </mc:AlternateContent>
    </w:r>
    <w:r>
      <w:rPr>
        <w:noProof/>
      </w:rPr>
      <mc:AlternateContent>
        <mc:Choice Requires="wps">
          <w:drawing>
            <wp:anchor distT="0" distB="0" distL="114300" distR="114300" simplePos="0" relativeHeight="251220992" behindDoc="1" locked="0" layoutInCell="1" allowOverlap="1" wp14:anchorId="2BA5F54C" wp14:editId="3474995C">
              <wp:simplePos x="0" y="0"/>
              <wp:positionH relativeFrom="page">
                <wp:posOffset>813435</wp:posOffset>
              </wp:positionH>
              <wp:positionV relativeFrom="page">
                <wp:posOffset>384810</wp:posOffset>
              </wp:positionV>
              <wp:extent cx="2026285" cy="152400"/>
              <wp:effectExtent l="0" t="0" r="0" b="0"/>
              <wp:wrapNone/>
              <wp:docPr id="159888980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0AB18" w14:textId="77777777" w:rsidR="00B84D06" w:rsidRDefault="00A75683">
                          <w:pPr>
                            <w:spacing w:line="223" w:lineRule="exact"/>
                            <w:ind w:left="20"/>
                            <w:rPr>
                              <w:sz w:val="20"/>
                            </w:rPr>
                          </w:pPr>
                          <w:r>
                            <w:rPr>
                              <w:color w:val="080808"/>
                              <w:sz w:val="20"/>
                            </w:rPr>
                            <w:t>University of the Highlands and Islands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A5F54C" id="_x0000_t202" coordsize="21600,21600" o:spt="202" path="m,l,21600r21600,l21600,xe">
              <v:stroke joinstyle="miter"/>
              <v:path gradientshapeok="t" o:connecttype="rect"/>
            </v:shapetype>
            <v:shape id="Text Box 9" o:spid="_x0000_s1026" type="#_x0000_t202" style="position:absolute;margin-left:64.05pt;margin-top:30.3pt;width:159.55pt;height:12pt;z-index:-252095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" filled="f" stroked="f">
              <v:textbox inset="0,0,0,0">
                <w:txbxContent>
                  <w:p w14:paraId="1AB0AB18" w14:textId="77777777" w:rsidR="00B84D06" w:rsidRDefault="00A75683">
                    <w:pPr>
                      <w:spacing w:line="223" w:lineRule="exact"/>
                      <w:ind w:left="20"/>
                      <w:rPr>
                        <w:sz w:val="20"/>
                      </w:rPr>
                    </w:pPr>
                    <w:r>
                      <w:rPr>
                        <w:color w:val="080808"/>
                        <w:sz w:val="20"/>
                      </w:rPr>
                      <w:t>University of the Highlands and Islands</w:t>
                    </w:r>
                  </w:p>
                </w:txbxContent>
              </v:textbox>
              <w10:wrap anchorx="page" anchory="page"/>
            </v:shape>
          </w:pict>
        </mc:Fallback>
      </mc:AlternateContent>
    </w:r>
    <w:r>
      <w:rPr>
        <w:noProof/>
      </w:rPr>
      <mc:AlternateContent>
        <mc:Choice Requires="wps">
          <w:drawing>
            <wp:anchor distT="0" distB="0" distL="114300" distR="114300" simplePos="0" relativeHeight="251222016" behindDoc="1" locked="0" layoutInCell="1" allowOverlap="1" wp14:anchorId="18C03C47" wp14:editId="18AE1F85">
              <wp:simplePos x="0" y="0"/>
              <wp:positionH relativeFrom="page">
                <wp:posOffset>5286375</wp:posOffset>
              </wp:positionH>
              <wp:positionV relativeFrom="page">
                <wp:posOffset>384810</wp:posOffset>
              </wp:positionV>
              <wp:extent cx="1282065" cy="152400"/>
              <wp:effectExtent l="0" t="0" r="0" b="0"/>
              <wp:wrapNone/>
              <wp:docPr id="7242238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06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DEB87" w14:textId="77777777" w:rsidR="00B84D06" w:rsidRDefault="00A75683">
                          <w:pPr>
                            <w:spacing w:line="223" w:lineRule="exact"/>
                            <w:ind w:left="20"/>
                            <w:rPr>
                              <w:sz w:val="20"/>
                            </w:rPr>
                          </w:pPr>
                          <w:r>
                            <w:rPr>
                              <w:color w:val="080808"/>
                              <w:sz w:val="20"/>
                            </w:rPr>
                            <w:t>Risk Management Policy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03C47" id="Text Box 8" o:spid="_x0000_s1027" type="#_x0000_t202" style="position:absolute;margin-left:416.25pt;margin-top:30.3pt;width:100.95pt;height:12pt;z-index:-252094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" filled="f" stroked="f">
              <v:textbox inset="0,0,0,0">
                <w:txbxContent>
                  <w:p w14:paraId="564DEB87" w14:textId="77777777" w:rsidR="00B84D06" w:rsidRDefault="00A75683">
                    <w:pPr>
                      <w:spacing w:line="223" w:lineRule="exact"/>
                      <w:ind w:left="20"/>
                      <w:rPr>
                        <w:sz w:val="20"/>
                      </w:rPr>
                    </w:pPr>
                    <w:r>
                      <w:rPr>
                        <w:color w:val="080808"/>
                        <w:sz w:val="20"/>
                      </w:rPr>
                      <w:t>Risk Management Policy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25294" w14:textId="77777777" w:rsidR="00B84D06" w:rsidRDefault="00B84D06">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EC13AB"/>
    <w:multiLevelType w:val="hybridMultilevel"/>
    <w:tmpl w:val="73A88F28"/>
    <w:lvl w:ilvl="0" w:tplc="84A8947C">
      <w:numFmt w:val="bullet"/>
      <w:lvlText w:val=""/>
      <w:lvlJc w:val="left"/>
      <w:pPr>
        <w:ind w:left="1056" w:hanging="361"/>
      </w:pPr>
      <w:rPr>
        <w:rFonts w:ascii="Symbol" w:eastAsia="Symbol" w:hAnsi="Symbol" w:cs="Symbol" w:hint="default"/>
        <w:w w:val="100"/>
        <w:sz w:val="22"/>
        <w:szCs w:val="22"/>
      </w:rPr>
    </w:lvl>
    <w:lvl w:ilvl="1" w:tplc="E03034C0">
      <w:numFmt w:val="bullet"/>
      <w:lvlText w:val="•"/>
      <w:lvlJc w:val="left"/>
      <w:pPr>
        <w:ind w:left="1930" w:hanging="361"/>
      </w:pPr>
      <w:rPr>
        <w:rFonts w:hint="default"/>
      </w:rPr>
    </w:lvl>
    <w:lvl w:ilvl="2" w:tplc="FF0AE684">
      <w:numFmt w:val="bullet"/>
      <w:lvlText w:val="•"/>
      <w:lvlJc w:val="left"/>
      <w:pPr>
        <w:ind w:left="2800" w:hanging="361"/>
      </w:pPr>
      <w:rPr>
        <w:rFonts w:hint="default"/>
      </w:rPr>
    </w:lvl>
    <w:lvl w:ilvl="3" w:tplc="1250D868">
      <w:numFmt w:val="bullet"/>
      <w:lvlText w:val="•"/>
      <w:lvlJc w:val="left"/>
      <w:pPr>
        <w:ind w:left="3670" w:hanging="361"/>
      </w:pPr>
      <w:rPr>
        <w:rFonts w:hint="default"/>
      </w:rPr>
    </w:lvl>
    <w:lvl w:ilvl="4" w:tplc="CBB8FBE4">
      <w:numFmt w:val="bullet"/>
      <w:lvlText w:val="•"/>
      <w:lvlJc w:val="left"/>
      <w:pPr>
        <w:ind w:left="4540" w:hanging="361"/>
      </w:pPr>
      <w:rPr>
        <w:rFonts w:hint="default"/>
      </w:rPr>
    </w:lvl>
    <w:lvl w:ilvl="5" w:tplc="EFCA9820">
      <w:numFmt w:val="bullet"/>
      <w:lvlText w:val="•"/>
      <w:lvlJc w:val="left"/>
      <w:pPr>
        <w:ind w:left="5410" w:hanging="361"/>
      </w:pPr>
      <w:rPr>
        <w:rFonts w:hint="default"/>
      </w:rPr>
    </w:lvl>
    <w:lvl w:ilvl="6" w:tplc="693C973A">
      <w:numFmt w:val="bullet"/>
      <w:lvlText w:val="•"/>
      <w:lvlJc w:val="left"/>
      <w:pPr>
        <w:ind w:left="6280" w:hanging="361"/>
      </w:pPr>
      <w:rPr>
        <w:rFonts w:hint="default"/>
      </w:rPr>
    </w:lvl>
    <w:lvl w:ilvl="7" w:tplc="301E605E">
      <w:numFmt w:val="bullet"/>
      <w:lvlText w:val="•"/>
      <w:lvlJc w:val="left"/>
      <w:pPr>
        <w:ind w:left="7150" w:hanging="361"/>
      </w:pPr>
      <w:rPr>
        <w:rFonts w:hint="default"/>
      </w:rPr>
    </w:lvl>
    <w:lvl w:ilvl="8" w:tplc="8044476C">
      <w:numFmt w:val="bullet"/>
      <w:lvlText w:val="•"/>
      <w:lvlJc w:val="left"/>
      <w:pPr>
        <w:ind w:left="8020" w:hanging="361"/>
      </w:pPr>
      <w:rPr>
        <w:rFonts w:hint="default"/>
      </w:rPr>
    </w:lvl>
  </w:abstractNum>
  <w:abstractNum w:abstractNumId="1" w15:restartNumberingAfterBreak="0">
    <w:nsid w:val="2EA24B6A"/>
    <w:multiLevelType w:val="multilevel"/>
    <w:tmpl w:val="9D18463A"/>
    <w:lvl w:ilvl="0">
      <w:start w:val="7"/>
      <w:numFmt w:val="decimal"/>
      <w:lvlText w:val="%1"/>
      <w:lvlJc w:val="left"/>
      <w:pPr>
        <w:ind w:left="604" w:hanging="361"/>
        <w:jc w:val="left"/>
      </w:pPr>
      <w:rPr>
        <w:rFonts w:hint="default"/>
      </w:rPr>
    </w:lvl>
    <w:lvl w:ilvl="1">
      <w:numFmt w:val="decimal"/>
      <w:lvlText w:val="%1.%2"/>
      <w:lvlJc w:val="left"/>
      <w:pPr>
        <w:ind w:left="604" w:hanging="361"/>
        <w:jc w:val="left"/>
      </w:pPr>
      <w:rPr>
        <w:rFonts w:ascii="Arial" w:eastAsia="Arial" w:hAnsi="Arial" w:cs="Arial" w:hint="default"/>
        <w:b/>
        <w:bCs/>
        <w:spacing w:val="-2"/>
        <w:w w:val="100"/>
        <w:sz w:val="22"/>
        <w:szCs w:val="22"/>
      </w:rPr>
    </w:lvl>
    <w:lvl w:ilvl="2">
      <w:numFmt w:val="bullet"/>
      <w:lvlText w:val="•"/>
      <w:lvlJc w:val="left"/>
      <w:pPr>
        <w:ind w:left="1056" w:hanging="361"/>
      </w:pPr>
      <w:rPr>
        <w:rFonts w:ascii="Times New Roman" w:eastAsia="Times New Roman" w:hAnsi="Times New Roman" w:cs="Times New Roman" w:hint="default"/>
        <w:w w:val="100"/>
        <w:sz w:val="22"/>
        <w:szCs w:val="22"/>
      </w:rPr>
    </w:lvl>
    <w:lvl w:ilvl="3">
      <w:numFmt w:val="bullet"/>
      <w:lvlText w:val="•"/>
      <w:lvlJc w:val="left"/>
      <w:pPr>
        <w:ind w:left="2993" w:hanging="361"/>
      </w:pPr>
      <w:rPr>
        <w:rFonts w:hint="default"/>
      </w:rPr>
    </w:lvl>
    <w:lvl w:ilvl="4">
      <w:numFmt w:val="bullet"/>
      <w:lvlText w:val="•"/>
      <w:lvlJc w:val="left"/>
      <w:pPr>
        <w:ind w:left="3960" w:hanging="361"/>
      </w:pPr>
      <w:rPr>
        <w:rFonts w:hint="default"/>
      </w:rPr>
    </w:lvl>
    <w:lvl w:ilvl="5">
      <w:numFmt w:val="bullet"/>
      <w:lvlText w:val="•"/>
      <w:lvlJc w:val="left"/>
      <w:pPr>
        <w:ind w:left="4927" w:hanging="361"/>
      </w:pPr>
      <w:rPr>
        <w:rFonts w:hint="default"/>
      </w:rPr>
    </w:lvl>
    <w:lvl w:ilvl="6">
      <w:numFmt w:val="bullet"/>
      <w:lvlText w:val="•"/>
      <w:lvlJc w:val="left"/>
      <w:pPr>
        <w:ind w:left="5893" w:hanging="361"/>
      </w:pPr>
      <w:rPr>
        <w:rFonts w:hint="default"/>
      </w:rPr>
    </w:lvl>
    <w:lvl w:ilvl="7">
      <w:numFmt w:val="bullet"/>
      <w:lvlText w:val="•"/>
      <w:lvlJc w:val="left"/>
      <w:pPr>
        <w:ind w:left="6860" w:hanging="361"/>
      </w:pPr>
      <w:rPr>
        <w:rFonts w:hint="default"/>
      </w:rPr>
    </w:lvl>
    <w:lvl w:ilvl="8">
      <w:numFmt w:val="bullet"/>
      <w:lvlText w:val="•"/>
      <w:lvlJc w:val="left"/>
      <w:pPr>
        <w:ind w:left="7827" w:hanging="361"/>
      </w:pPr>
      <w:rPr>
        <w:rFonts w:hint="default"/>
      </w:rPr>
    </w:lvl>
  </w:abstractNum>
  <w:abstractNum w:abstractNumId="2" w15:restartNumberingAfterBreak="0">
    <w:nsid w:val="2F11689B"/>
    <w:multiLevelType w:val="hybridMultilevel"/>
    <w:tmpl w:val="A7DE7F20"/>
    <w:lvl w:ilvl="0" w:tplc="78DC05FE">
      <w:numFmt w:val="bullet"/>
      <w:lvlText w:val="•"/>
      <w:lvlJc w:val="left"/>
      <w:pPr>
        <w:ind w:left="967" w:hanging="721"/>
      </w:pPr>
      <w:rPr>
        <w:rFonts w:ascii="Arial" w:eastAsia="Arial" w:hAnsi="Arial" w:cs="Arial" w:hint="default"/>
        <w:w w:val="100"/>
        <w:sz w:val="22"/>
        <w:szCs w:val="22"/>
      </w:rPr>
    </w:lvl>
    <w:lvl w:ilvl="1" w:tplc="1B9ECADE">
      <w:numFmt w:val="bullet"/>
      <w:lvlText w:val="•"/>
      <w:lvlJc w:val="left"/>
      <w:pPr>
        <w:ind w:left="1840" w:hanging="721"/>
      </w:pPr>
      <w:rPr>
        <w:rFonts w:hint="default"/>
      </w:rPr>
    </w:lvl>
    <w:lvl w:ilvl="2" w:tplc="610473F4">
      <w:numFmt w:val="bullet"/>
      <w:lvlText w:val="•"/>
      <w:lvlJc w:val="left"/>
      <w:pPr>
        <w:ind w:left="2720" w:hanging="721"/>
      </w:pPr>
      <w:rPr>
        <w:rFonts w:hint="default"/>
      </w:rPr>
    </w:lvl>
    <w:lvl w:ilvl="3" w:tplc="FBE89982">
      <w:numFmt w:val="bullet"/>
      <w:lvlText w:val="•"/>
      <w:lvlJc w:val="left"/>
      <w:pPr>
        <w:ind w:left="3600" w:hanging="721"/>
      </w:pPr>
      <w:rPr>
        <w:rFonts w:hint="default"/>
      </w:rPr>
    </w:lvl>
    <w:lvl w:ilvl="4" w:tplc="860AC906">
      <w:numFmt w:val="bullet"/>
      <w:lvlText w:val="•"/>
      <w:lvlJc w:val="left"/>
      <w:pPr>
        <w:ind w:left="4480" w:hanging="721"/>
      </w:pPr>
      <w:rPr>
        <w:rFonts w:hint="default"/>
      </w:rPr>
    </w:lvl>
    <w:lvl w:ilvl="5" w:tplc="8844133A">
      <w:numFmt w:val="bullet"/>
      <w:lvlText w:val="•"/>
      <w:lvlJc w:val="left"/>
      <w:pPr>
        <w:ind w:left="5360" w:hanging="721"/>
      </w:pPr>
      <w:rPr>
        <w:rFonts w:hint="default"/>
      </w:rPr>
    </w:lvl>
    <w:lvl w:ilvl="6" w:tplc="E19A8FE2">
      <w:numFmt w:val="bullet"/>
      <w:lvlText w:val="•"/>
      <w:lvlJc w:val="left"/>
      <w:pPr>
        <w:ind w:left="6240" w:hanging="721"/>
      </w:pPr>
      <w:rPr>
        <w:rFonts w:hint="default"/>
      </w:rPr>
    </w:lvl>
    <w:lvl w:ilvl="7" w:tplc="52B67E5C">
      <w:numFmt w:val="bullet"/>
      <w:lvlText w:val="•"/>
      <w:lvlJc w:val="left"/>
      <w:pPr>
        <w:ind w:left="7120" w:hanging="721"/>
      </w:pPr>
      <w:rPr>
        <w:rFonts w:hint="default"/>
      </w:rPr>
    </w:lvl>
    <w:lvl w:ilvl="8" w:tplc="1A4E97FA">
      <w:numFmt w:val="bullet"/>
      <w:lvlText w:val="•"/>
      <w:lvlJc w:val="left"/>
      <w:pPr>
        <w:ind w:left="8000" w:hanging="721"/>
      </w:pPr>
      <w:rPr>
        <w:rFonts w:hint="default"/>
      </w:rPr>
    </w:lvl>
  </w:abstractNum>
  <w:num w:numId="1" w16cid:durableId="1299267080">
    <w:abstractNumId w:val="0"/>
  </w:num>
  <w:num w:numId="2" w16cid:durableId="227501385">
    <w:abstractNumId w:val="1"/>
  </w:num>
  <w:num w:numId="3" w16cid:durableId="1856918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D06"/>
    <w:rsid w:val="00176078"/>
    <w:rsid w:val="00347544"/>
    <w:rsid w:val="00362AD6"/>
    <w:rsid w:val="00377095"/>
    <w:rsid w:val="00384BB6"/>
    <w:rsid w:val="004A0422"/>
    <w:rsid w:val="007E5880"/>
    <w:rsid w:val="00886B0B"/>
    <w:rsid w:val="008A7200"/>
    <w:rsid w:val="00944121"/>
    <w:rsid w:val="00A75683"/>
    <w:rsid w:val="00B84D06"/>
    <w:rsid w:val="00B86665"/>
    <w:rsid w:val="00C25A8D"/>
    <w:rsid w:val="00C53342"/>
    <w:rsid w:val="00D42E04"/>
    <w:rsid w:val="00F15D6E"/>
    <w:rsid w:val="00F23FE6"/>
    <w:rsid w:val="3D5E0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2D2FD"/>
  <w15:docId w15:val="{157169B2-0AA6-430F-99EA-6B56FD328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
      <w:ind w:left="2124" w:right="2124"/>
      <w:jc w:val="center"/>
      <w:outlineLvl w:val="0"/>
    </w:pPr>
    <w:rPr>
      <w:sz w:val="32"/>
      <w:szCs w:val="32"/>
    </w:rPr>
  </w:style>
  <w:style w:type="paragraph" w:styleId="Heading2">
    <w:name w:val="heading 2"/>
    <w:basedOn w:val="Normal"/>
    <w:uiPriority w:val="9"/>
    <w:unhideWhenUsed/>
    <w:qFormat/>
    <w:pPr>
      <w:ind w:left="21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59"/>
      <w:ind w:left="1056" w:hanging="361"/>
    </w:pPr>
  </w:style>
  <w:style w:type="paragraph" w:customStyle="1" w:styleId="TableParagraph">
    <w:name w:val="Table Paragraph"/>
    <w:basedOn w:val="Normal"/>
    <w:uiPriority w:val="1"/>
    <w:qFormat/>
    <w:pPr>
      <w:ind w:left="107"/>
    </w:pPr>
    <w:rPr>
      <w:rFonts w:ascii="Calibri Light" w:eastAsia="Calibri Light" w:hAnsi="Calibri Light" w:cs="Calibri Light"/>
    </w:rPr>
  </w:style>
  <w:style w:type="paragraph" w:styleId="Header">
    <w:name w:val="header"/>
    <w:basedOn w:val="Normal"/>
    <w:link w:val="HeaderChar"/>
    <w:uiPriority w:val="99"/>
    <w:unhideWhenUsed/>
    <w:rsid w:val="00347544"/>
    <w:pPr>
      <w:tabs>
        <w:tab w:val="center" w:pos="4513"/>
        <w:tab w:val="right" w:pos="9026"/>
      </w:tabs>
    </w:pPr>
  </w:style>
  <w:style w:type="character" w:customStyle="1" w:styleId="HeaderChar">
    <w:name w:val="Header Char"/>
    <w:basedOn w:val="DefaultParagraphFont"/>
    <w:link w:val="Header"/>
    <w:uiPriority w:val="99"/>
    <w:rsid w:val="00347544"/>
    <w:rPr>
      <w:rFonts w:ascii="Calibri" w:eastAsia="Calibri" w:hAnsi="Calibri" w:cs="Calibri"/>
    </w:rPr>
  </w:style>
  <w:style w:type="paragraph" w:styleId="Footer">
    <w:name w:val="footer"/>
    <w:basedOn w:val="Normal"/>
    <w:link w:val="FooterChar"/>
    <w:uiPriority w:val="99"/>
    <w:unhideWhenUsed/>
    <w:rsid w:val="00347544"/>
    <w:pPr>
      <w:tabs>
        <w:tab w:val="center" w:pos="4513"/>
        <w:tab w:val="right" w:pos="9026"/>
      </w:tabs>
    </w:pPr>
  </w:style>
  <w:style w:type="character" w:customStyle="1" w:styleId="FooterChar">
    <w:name w:val="Footer Char"/>
    <w:basedOn w:val="DefaultParagraphFont"/>
    <w:link w:val="Footer"/>
    <w:uiPriority w:val="99"/>
    <w:rsid w:val="00347544"/>
    <w:rPr>
      <w:rFonts w:ascii="Calibri" w:eastAsia="Calibri" w:hAnsi="Calibri" w:cs="Calibri"/>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http://www.uhi.ac.uk/" TargetMode="External"/><Relationship Id="rId1" Type="http://schemas.openxmlformats.org/officeDocument/2006/relationships/hyperlink" Target="http://www.uhi.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b08f9bd9-3094-4ce7-b0b7-c3aa025461b8" ContentTypeId="0x010100AAD73BA2634B424AB47E3F5D439BEB59" PreviousValue="false" LastSyncTimeStamp="2016-07-05T12:46:09.05Z"/>
</file>

<file path=customXml/item2.xml><?xml version="1.0" encoding="utf-8"?>
<ct:contentTypeSchema xmlns:ct="http://schemas.microsoft.com/office/2006/metadata/contentType" xmlns:ma="http://schemas.microsoft.com/office/2006/metadata/properties/metaAttributes" ct:_="" ma:_="" ma:contentTypeName="UHI policy" ma:contentTypeID="0x010100AAD73BA2634B424AB47E3F5D439BEB59008296AD452A7A9D47874018381546D1E40058AE563E2F814E48B3E2AC62C42DC8EA" ma:contentTypeVersion="42" ma:contentTypeDescription="" ma:contentTypeScope="" ma:versionID="308008a9538cb2c7e9bdf45584d3ae9c">
  <xsd:schema xmlns:xsd="http://www.w3.org/2001/XMLSchema" xmlns:xs="http://www.w3.org/2001/XMLSchema" xmlns:p="http://schemas.microsoft.com/office/2006/metadata/properties" xmlns:ns2="0e688173-6920-4db4-a106-52e1f932be5c" xmlns:ns3="3c69c838-2a37-4aa6-b816-de272965bf9b" xmlns:ns5="7d750aa3-c304-4ac2-a3b6-ed12a44f3654" targetNamespace="http://schemas.microsoft.com/office/2006/metadata/properties" ma:root="true" ma:fieldsID="0eb38c35a1fe91658af3d518bb3817c2" ns2:_="" ns3:_="" ns5:_="">
    <xsd:import namespace="0e688173-6920-4db4-a106-52e1f932be5c"/>
    <xsd:import namespace="3c69c838-2a37-4aa6-b816-de272965bf9b"/>
    <xsd:import namespace="7d750aa3-c304-4ac2-a3b6-ed12a44f3654"/>
    <xsd:element name="properties">
      <xsd:complexType>
        <xsd:sequence>
          <xsd:element name="documentManagement">
            <xsd:complexType>
              <xsd:all>
                <xsd:element ref="ns3:Academic_x0020_year" minOccurs="0"/>
                <xsd:element ref="ns2:Retention_x0020_schedule" minOccurs="0"/>
                <xsd:element ref="ns5:Next_x0020_review_x0020_date" minOccurs="0"/>
                <xsd:element ref="ns5:Policy_x0020_owner_x0020__x0028_Department_x0029_"/>
                <xsd:element ref="ns3:Policy_x0020_code" minOccurs="0"/>
                <xsd:element ref="ns3:i6xd" minOccurs="0"/>
                <xsd:element ref="ns3:_x0064_mq9" minOccurs="0"/>
                <xsd:element ref="ns2:j928f9099e4145f8a1f3a9d8f7b9fe40" minOccurs="0"/>
                <xsd:element ref="ns5:gb62d9f7f39b4eb293c666f5a8e278c8" minOccurs="0"/>
                <xsd:element ref="ns2:TaxCatchAll" minOccurs="0"/>
                <xsd:element ref="ns2:TaxCatchAllLabel" minOccurs="0"/>
                <xsd:element ref="ns5:SharedWithUsers" minOccurs="0"/>
                <xsd:element ref="ns5:SharedWithDetails" minOccurs="0"/>
                <xsd:element ref="ns3:MediaServiceMetadata" minOccurs="0"/>
                <xsd:element ref="ns3:MediaServiceFastMetadata" minOccurs="0"/>
                <xsd:element ref="ns3:MediaServiceAutoKeyPoints" minOccurs="0"/>
                <xsd:element ref="ns3:MediaServiceKeyPoints" minOccurs="0"/>
                <xsd:element ref="ns2:n0164ad3d5b84a57907af32d91eb6282"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Scope" minOccurs="0"/>
                <xsd:element ref="ns3:PolicyOwner" minOccurs="0"/>
                <xsd:element ref="ns3:MediaLengthInSeconds" minOccurs="0"/>
                <xsd:element ref="ns3:UHIPartnershipPractitionerGroupresponsibility" minOccurs="0"/>
                <xsd:element ref="ns3:Policyreviewer" minOccurs="0"/>
                <xsd:element ref="ns3:SETAreaofActivity" minOccurs="0"/>
                <xsd:element ref="ns3:Directorate" minOccurs="0"/>
                <xsd:element ref="ns3:Department" minOccurs="0"/>
                <xsd:element ref="ns3:Version_x0020_Type_x0020__x0028_Major_x002f__x0020_Minor_x0029_" minOccurs="0"/>
                <xsd:element ref="ns3:Last_x0020_Reviewed_x0020_Date"/>
                <xsd:element ref="ns3:Review_x0020_cycle_x0020__x0028_months_x0029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688173-6920-4db4-a106-52e1f932be5c" elementFormDefault="qualified">
    <xsd:import namespace="http://schemas.microsoft.com/office/2006/documentManagement/types"/>
    <xsd:import namespace="http://schemas.microsoft.com/office/infopath/2007/PartnerControls"/>
    <xsd:element name="Retention_x0020_schedule" ma:index="4" nillable="true" ma:displayName="Retention schedule" ma:format="Dropdown" ma:internalName="Retention_x0020_schedule" ma:readOnly="false">
      <xsd:simpleType>
        <xsd:restriction base="dms:Choice">
          <xsd:enumeration value="1 Year"/>
          <xsd:enumeration value="2 Years"/>
          <xsd:enumeration value="3 Years"/>
          <xsd:enumeration value="4 Years"/>
          <xsd:enumeration value="5 Years"/>
          <xsd:enumeration value="6 Years"/>
          <xsd:enumeration value="7 Years"/>
          <xsd:enumeration value="8 Years"/>
          <xsd:enumeration value="9 Years"/>
          <xsd:enumeration value="10 Years"/>
          <xsd:enumeration value="15 Years"/>
          <xsd:enumeration value="20 Years"/>
          <xsd:enumeration value="30 Years"/>
          <xsd:enumeration value="40 Years"/>
          <xsd:enumeration value="50 Years"/>
          <xsd:enumeration value="Abandonment of plans + 1 year"/>
          <xsd:enumeration value="Agreement of contract"/>
          <xsd:enumeration value="Award of supply contract + 1 year"/>
          <xsd:enumeration value="Closure of account + 1 year"/>
          <xsd:enumeration value="Closure of account + 6 years"/>
          <xsd:enumeration value="Closure of case + 6 years"/>
          <xsd:enumeration value="Closure of investigation + 40 years"/>
          <xsd:enumeration value="Closure of negotiations + 6 years"/>
          <xsd:enumeration value="Closure of scheme + 5 years"/>
          <xsd:enumeration value="Commencement/Renewal of policy + 40 years"/>
          <xsd:enumeration value="Completion of admissions process + 6 months"/>
          <xsd:enumeration value="Completion of admissions process + 1 year"/>
          <xsd:enumeration value="Completion of actions + 5 years"/>
          <xsd:enumeration value="Completion of analysis of data"/>
          <xsd:enumeration value="Completion of analysis of feedback"/>
          <xsd:enumeration value="Completion of analysis of responses"/>
          <xsd:enumeration value="Completion of analysis of survey responses"/>
          <xsd:enumeration value="Completion of audit + 3 years"/>
          <xsd:enumeration value="Completion of audit + 5 years"/>
          <xsd:enumeration value="Completion of campaign + 3 years"/>
          <xsd:enumeration value="Completion of campaign + 5 years"/>
          <xsd:enumeration value="Completion of ceremony + 1 year"/>
          <xsd:enumeration value="Completion of disposal process + 6 years"/>
          <xsd:enumeration value="Completion of election + 1 year"/>
          <xsd:enumeration value="Completion of entitlement + 6 years"/>
          <xsd:enumeration value="Completion of event + 1 year"/>
          <xsd:enumeration value="Completion of event + 3 years"/>
          <xsd:enumeration value="Completion of event + 5 years"/>
          <xsd:enumeration value="Completion of induction + 1 year"/>
          <xsd:enumeration value="Completion of induction programme + 5 years"/>
          <xsd:enumeration value="Completion of process + 5 years"/>
          <xsd:enumeration value="Completion of programme + 1 year OR Termination of programme + 1 year"/>
          <xsd:enumeration value="Completion of programme + 5 years"/>
          <xsd:enumeration value="Completion of project"/>
          <xsd:enumeration value="Completion of project + 3 years"/>
          <xsd:enumeration value="Completion of project + 6 years"/>
          <xsd:enumeration value="Completion of project + 10 years"/>
          <xsd:enumeration value="Completion of project + 20 years"/>
          <xsd:enumeration value="Completion of project + 30 years"/>
          <xsd:enumeration value="Completion of project (i.e. termination of award) + 6 years"/>
          <xsd:enumeration value="Completion of purchase"/>
          <xsd:enumeration value="Completion of recruitment"/>
          <xsd:enumeration value="Completion of recruitment process"/>
          <xsd:enumeration value="Completion of recruitment process + 3 months"/>
          <xsd:enumeration value="Completion of request handling process + 3 years"/>
          <xsd:enumeration value="Completion of research + 5 years"/>
          <xsd:enumeration value="Completion of review + 5 years"/>
          <xsd:enumeration value="Completion of revised Records Retention Schedule + 1 year"/>
          <xsd:enumeration value="Completion of revision of Publication Scheme + 5 years"/>
          <xsd:enumeration value="Completion of student's programme + 6 years"/>
          <xsd:enumeration value="Completion of subsequent audit + 5 years"/>
          <xsd:enumeration value="Completion of subsequent inspection"/>
          <xsd:enumeration value="Completion of subsequent test on article OR Disposal of article + 2 years"/>
          <xsd:enumeration value="Completion of subsequent survey/audit"/>
          <xsd:enumeration value="Completion of survey + 3 years"/>
          <xsd:enumeration value="Completion of survey + 5 years"/>
          <xsd:enumeration value="Completion of survey/audit"/>
          <xsd:enumeration value="Completion of survey/consultation + 5 years"/>
          <xsd:enumeration value="Completion of the scheme + 1 year"/>
          <xsd:enumeration value="Completion of travel + 3 months"/>
          <xsd:enumeration value="Completion of two subsequent inspections"/>
          <xsd:enumeration value="Completion of two subsequent reviews"/>
          <xsd:enumeration value="Completion of use + 5 years"/>
          <xsd:enumeration value="Completion of visit + 1 year"/>
          <xsd:enumeration value="Completion of work to which plan relates"/>
          <xsd:enumeration value="Completion of work to which the assessment relates + 10 years"/>
          <xsd:enumeration value="Completion of works + 15 years"/>
          <xsd:enumeration value="Conferment of award + 1 year"/>
          <xsd:enumeration value="Confirmation of marks/grades + 6 months"/>
          <xsd:enumeration value="Confirmation of marks/grades by Board of Examiners + 6 months"/>
          <xsd:enumeration value="Creation + 1 month"/>
          <xsd:enumeration value="Creation + 1 year"/>
          <xsd:enumeration value="Creation + 2 years"/>
          <xsd:enumeration value="Current"/>
          <xsd:enumeration value="Current + 1 year"/>
          <xsd:enumeration value="Current + 5 years"/>
          <xsd:enumeration value="Current + 40 years"/>
          <xsd:enumeration value="Current academic year"/>
          <xsd:enumeration value="Current academic year + 1 years"/>
          <xsd:enumeration value="Current academic year + 2 years"/>
          <xsd:enumeration value="Current academic year + 3 years"/>
          <xsd:enumeration value="Current academic year + 4 years"/>
          <xsd:enumeration value="Current academic year + 5 years"/>
          <xsd:enumeration value="Current academic year + 5 years OR Life of course + 1 year"/>
          <xsd:enumeration value="Current academic year + 5 years OR Termination of scheme + 5 years"/>
          <xsd:enumeration value="Current academic year + 6 years"/>
          <xsd:enumeration value="Current academic year + 10 years"/>
          <xsd:enumeration value="Current financial/academic year + 5 years"/>
          <xsd:enumeration value="Current financial/academic year + 6 years"/>
          <xsd:enumeration value="Current financial year + 1 year"/>
          <xsd:enumeration value="Current financial year + 6 years"/>
          <xsd:enumeration value="Current financial year + 10 years"/>
          <xsd:enumeration value="Current financial year (of disposal) + 6 years"/>
          <xsd:enumeration value="Current financial year (of transaction) + 6 years"/>
          <xsd:enumeration value="Current tax year + 3 years"/>
          <xsd:enumeration value="Current tax year + 6 years"/>
          <xsd:enumeration value="Current year + 1 year"/>
          <xsd:enumeration value="Current year + 2 years"/>
          <xsd:enumeration value="Current year + 3 years"/>
          <xsd:enumeration value="Current year + 5 years"/>
          <xsd:enumeration value="Current year + 5 years OR Superseded + 1 year"/>
          <xsd:enumeration value="Current year + 5 years or Superseded + 5 years"/>
          <xsd:enumeration value="Current year + 10 years"/>
          <xsd:enumeration value="Current year + 20 years"/>
          <xsd:enumeration value="Current year + 50 years"/>
          <xsd:enumeration value="Date of access + 1 year"/>
          <xsd:enumeration value="Date of accident + 50 years OR Until the employee reaches (or would have reached, if deceased) 75 years, whichever is the later"/>
          <xsd:enumeration value="Date of assessment + 50 years OR Until the employee reaches (or would have reached, if deceased) 75 years, whichever is the later"/>
          <xsd:enumeration value="Date of briefing + 1 year"/>
          <xsd:enumeration value="Date of briefing + 5 years"/>
          <xsd:enumeration value="Date of certificate + 4 years"/>
          <xsd:enumeration value="Date of examination/test/repair + 2 years"/>
          <xsd:enumeration value="Date of examination/test/repair + 5 years"/>
          <xsd:enumeration value="Date of inspection + 5 years"/>
          <xsd:enumeration value="Date of interview + 1 year"/>
          <xsd:enumeration value="Date of interview + 5 years"/>
          <xsd:enumeration value="Date of last entry + 50 years OR Until the employee reaches (or would have reached, if deceased) 75 years, whichever is the later"/>
          <xsd:enumeration value="Date of last entry on record + 40 years"/>
          <xsd:enumeration value="Date of maintenance/testing + 2 years"/>
          <xsd:enumeration value="Date of meeting"/>
          <xsd:enumeration value="Date of monitoring + 2 years"/>
          <xsd:enumeration value="Date of monitoring + 5 years"/>
          <xsd:enumeration value="Date of monitoring + 40 years"/>
          <xsd:enumeration value="Date of notification + 3 years"/>
          <xsd:enumeration value="Date of notification + 5 years"/>
          <xsd:enumeration value="Date of record + 2 years"/>
          <xsd:enumeration value="Date of recording + 3 years"/>
          <xsd:enumeration value="Date of report + 2 years"/>
          <xsd:enumeration value="Date of report + 50 years"/>
          <xsd:enumeration value="Date of report + 50 years OR Until the employee reaches (or would have reached, if deceased) 75 years, whichever is the later"/>
          <xsd:enumeration value="Date of report of investigation + 2 years"/>
          <xsd:enumeration value="Date of subsequent report OR Date of report + 2 years, whichever is the later"/>
          <xsd:enumeration value="Decommissioning"/>
          <xsd:enumeration value="Decommissioning of system + 5 years"/>
          <xsd:enumeration value="Decommissioning/removal"/>
          <xsd:enumeration value="Decommissioning/removal of plant"/>
          <xsd:enumeration value="Decommissioning/removal + 6 years"/>
          <xsd:enumeration value="Decommissioning/Disposal + 15 years"/>
          <xsd:enumeration value="Decommissioning/removal + 40 years"/>
          <xsd:enumeration value="Demolition of property OR Disposal of interest in property"/>
          <xsd:enumeration value="Derecognition + 6 years"/>
          <xsd:enumeration value="Determination of application + 1 year"/>
          <xsd:enumeration value="Determination of application + 6 years"/>
          <xsd:enumeration value="Disposal of equipment + 1 year"/>
          <xsd:enumeration value="Disposal of item + 1 year"/>
          <xsd:enumeration value="Disposal of item + 6 years"/>
          <xsd:enumeration value="Disposal of item + 15 years"/>
          <xsd:enumeration value="Disposal of property"/>
          <xsd:enumeration value="Disposal of property + 12 years"/>
          <xsd:enumeration value="Disposal of property or expiry of consent"/>
          <xsd:enumeration value="Disposal of publications + 1 year"/>
          <xsd:enumeration value="Disposal of radioactive substance + 2 years OR Date of record + 2 years, whichever is the longer"/>
          <xsd:enumeration value="Disposal of records"/>
          <xsd:enumeration value="Disposal of records + 25 years"/>
          <xsd:enumeration value="Dissolution of committee + 50 years"/>
          <xsd:enumeration value="Divestment + 6 years"/>
          <xsd:enumeration value="Duration of job + 1 year"/>
          <xsd:enumeration value="Duration of relationship + 6 years"/>
          <xsd:enumeration value="Duration of work + 10 years"/>
          <xsd:enumeration value="Elimination of risk + 5 years OR Updating of risk assessment + 5 years"/>
          <xsd:enumeration value="End of 'registered student' relationship with institution + 6 years"/>
          <xsd:enumeration value="End of registration + 6 years"/>
          <xsd:enumeration value="Expiry of certification + 6 years OR Superseded + 6 years"/>
          <xsd:enumeration value="Expiry of invitation OR Rejection of application + 6 months OR Completion of approval"/>
          <xsd:enumeration value="Expiry of lease + 12 years"/>
          <xsd:enumeration value="Expiry of lease + 15 years"/>
          <xsd:enumeration value="Expiry of pass + 1 month"/>
          <xsd:enumeration value="Expiry of pass + 1 year"/>
          <xsd:enumeration value="Expiry of policy + 6 years"/>
          <xsd:enumeration value="Final payment on the programme to the UK + 3 years (see note)"/>
          <xsd:enumeration value="Issue + 1 year"/>
          <xsd:enumeration value="Issue of communication + 1 year"/>
          <xsd:enumeration value="Issue of list + 10 years"/>
          <xsd:enumeration value="Issue of new licence"/>
          <xsd:enumeration value="Issue of policy/procedures/strategy + 1 year"/>
          <xsd:enumeration value="Issue of policy/procedures/strategy + 2 years"/>
          <xsd:enumeration value="Issue of policy/procedures/strategy + 3 years"/>
          <xsd:enumeration value="Issue of policy/procedures/strategy + 4 years"/>
          <xsd:enumeration value="Issue of policy/procedures/strategy + 5 years"/>
          <xsd:enumeration value="Issue of publication + 1 year"/>
          <xsd:enumeration value="Issue of revised Code of Practice + 1 year"/>
          <xsd:enumeration value="Last action + 5 years"/>
          <xsd:enumeration value="Last action on application + 1 year"/>
          <xsd:enumeration value="Last action on campaign + 5 years"/>
          <xsd:enumeration value="Last action on case + 1 year"/>
          <xsd:enumeration value="Last action on case + 6 years"/>
          <xsd:enumeration value="Last action on complaint + 1 year"/>
          <xsd:enumeration value="Last action on complaint + 3 years"/>
          <xsd:enumeration value="Last action on consultation + 1 year"/>
          <xsd:enumeration value="Last action on consultation + 3 years"/>
          <xsd:enumeration value="Last action on consultation + 5 years"/>
          <xsd:enumeration value="Last action on development + 5 years"/>
          <xsd:enumeration value="Last action on donation + 6 years"/>
          <xsd:enumeration value="Last action on enquiry + 1 year"/>
          <xsd:enumeration value="Last action on enquiry + 3 years"/>
          <xsd:enumeration value="Last action on event + 5 years"/>
          <xsd:enumeration value="Last action on event + 10 years"/>
          <xsd:enumeration value="Last action on fault + 1 year"/>
          <xsd:enumeration value="Last action on feedback + 1 year"/>
          <xsd:enumeration value="Last action on feedback + 3 years"/>
          <xsd:enumeration value="Last action on incident + 1 year"/>
          <xsd:enumeration value="Last action on incident + 40 years"/>
          <xsd:enumeration value="Last action on inquiry + 10 years"/>
          <xsd:enumeration value="Last action on issue + 1 year"/>
          <xsd:enumeration value="Last action on issue + 20 years"/>
          <xsd:enumeration value="Last action on project + 5 years"/>
          <xsd:enumeration value="Last action on proposal + 1 year"/>
          <xsd:enumeration value="Last action on request + 3 months"/>
          <xsd:enumeration value="Last action on request + 1 year"/>
          <xsd:enumeration value="Last action on request + 5 years"/>
          <xsd:enumeration value="Last action on suggestion + 1 year"/>
          <xsd:enumeration value="Last action on survey + 3 years"/>
          <xsd:enumeration value="Last entry + 5 years"/>
          <xsd:enumeration value="Last entry + 40 years"/>
          <xsd:enumeration value="Life of archives"/>
          <xsd:enumeration value="Life of committee + 3 years"/>
          <xsd:enumeration value="Life of committee + 5 years"/>
          <xsd:enumeration value="Life of committee + 6 years"/>
          <xsd:enumeration value="Life of company + 10 years"/>
          <xsd:enumeration value="Life of course + 1 year"/>
          <xsd:enumeration value="Life of equipment + 6 years"/>
          <xsd:enumeration value="Life of instruction + 6 years"/>
          <xsd:enumeration value="Life of IPR + 6 years"/>
          <xsd:enumeration value="Life of item"/>
          <xsd:enumeration value="Life of item + 6 years"/>
          <xsd:enumeration value="Life of item + 40 years"/>
          <xsd:enumeration value="Life of partnership/arrangement + 6 years"/>
          <xsd:enumeration value="Life of patent + 50 years"/>
          <xsd:enumeration value="Life of patent/End of registration"/>
          <xsd:enumeration value="Life of programme"/>
          <xsd:enumeration value="Life of programme + 10 years"/>
          <xsd:enumeration value="Life of publication"/>
          <xsd:enumeration value="Life of records"/>
          <xsd:enumeration value="Life of records + 25 years"/>
          <xsd:enumeration value="Life of records arranged according to the scheme"/>
          <xsd:enumeration value="Life of records described using the model"/>
          <xsd:enumeration value="Life of resource + 2 years"/>
          <xsd:enumeration value="Life of institution"/>
          <xsd:enumeration value="Life of instruction + 6 years"/>
          <xsd:enumeration value="Life of items"/>
          <xsd:enumeration value="Life of records"/>
          <xsd:enumeration value="Life of records + 25 years"/>
          <xsd:enumeration value="Life of system + 5 years"/>
          <xsd:enumeration value="Life of UHI"/>
          <xsd:enumeration value="N/A"/>
          <xsd:enumeration value="Period for which permission is granted + 6 years"/>
          <xsd:enumeration value="Permanent"/>
          <xsd:enumeration value="Provision of reference + 1 year"/>
          <xsd:enumeration value="Publication/Delivery + 1 year"/>
          <xsd:enumeration value="Publication/Delivery + 3 years"/>
          <xsd:enumeration value="Publication of strategic plan + 1 year"/>
          <xsd:enumeration value="Receipt of application + 1 year"/>
          <xsd:enumeration value="Receipt of notification that application was unsuccessful + 1 year"/>
          <xsd:enumeration value="Receipt of notification that proposal/tender was unsuccessful + 1 year"/>
          <xsd:enumeration value="Rejection + 1 year"/>
          <xsd:enumeration value="Removal of asbestos + 10 years OR Subsequent inspection + 10 years"/>
          <xsd:enumeration value="Removal of waste + 3 years"/>
          <xsd:enumeration value="Removal of waste consignment + 3 years"/>
          <xsd:enumeration value="Return of equipment + 3 months"/>
          <xsd:enumeration value="Return of issued equipment + 1 year"/>
          <xsd:enumeration value="Return of item + 10 years"/>
          <xsd:enumeration value="Return of items + 1 year"/>
          <xsd:enumeration value="Return of loaned item + 10 years"/>
          <xsd:enumeration value="Return of records + 1 year"/>
          <xsd:enumeration value="Review of assessment + 5 years"/>
          <xsd:enumeration value="Review of assessment + 10 years"/>
          <xsd:enumeration value="See HEALTH &amp; SAFETY MANAGEMENT - HAZARDOUS SUBSTANCE EXPOSURE CONTROL."/>
          <xsd:enumeration value="Settlement of case + 6 years"/>
          <xsd:enumeration value="Settlement of claim + 6 years"/>
          <xsd:enumeration value="Settlement of claim + 6 years OR Withdrawal of claim + 6 years"/>
          <xsd:enumeration value="Settlement of complaint + 6 years"/>
          <xsd:enumeration value="Submission of report + 3 years"/>
          <xsd:enumeration value="Superseded"/>
          <xsd:enumeration value="Superseded + 1 year"/>
          <xsd:enumeration value="Superseded + 2 years"/>
          <xsd:enumeration value="Superseded + 3 years"/>
          <xsd:enumeration value="Superseded + 4 years"/>
          <xsd:enumeration value="Superseded + 5 years"/>
          <xsd:enumeration value="Superseded + 6 Years"/>
          <xsd:enumeration value="Superseded + 10 Years"/>
          <xsd:enumeration value="Superseded + 40 Years"/>
          <xsd:enumeration value="Superseded + 50 Years"/>
          <xsd:enumeration value="Termination of accreditation + 1 year"/>
          <xsd:enumeration value="Termination of agreement + 10 years"/>
          <xsd:enumeration value="Termination of appointment"/>
          <xsd:enumeration value="Termination of appointment + 1 year"/>
          <xsd:enumeration value="Termination of appointment + 6 years"/>
          <xsd:enumeration value="Termination of approval"/>
          <xsd:enumeration value="Termination of connection + 1 year"/>
          <xsd:enumeration value="Termination of contract"/>
          <xsd:enumeration value="Termination of contract + 1 year"/>
          <xsd:enumeration value="Termination of contract + 3 years"/>
          <xsd:enumeration value="Termination of contract + 6 years"/>
          <xsd:enumeration value="Termination of contract + 10 years"/>
          <xsd:enumeration value="Termination of contract + 12 years"/>
          <xsd:enumeration value="Termination of contractual relationship + 6 years"/>
          <xsd:enumeration value="Termination of employment + 6 years"/>
          <xsd:enumeration value="Termination of employment + 6 years (as part of employee contract records) except information which is not relevant to the ongoing employment relationship"/>
          <xsd:enumeration value="Termination of employment + 40 years"/>
          <xsd:enumeration value="Termination of employment + 75 years"/>
          <xsd:enumeration value="Termination of grant + 6 years"/>
          <xsd:enumeration value="Termination of involvement + 1 year"/>
          <xsd:enumeration value="Termination of loan + 6 years"/>
          <xsd:enumeration value="Termination of licence + 6 years"/>
          <xsd:enumeration value="Termination of membership + 1 year"/>
          <xsd:enumeration value="Termination of membership + 6 years"/>
          <xsd:enumeration value="Termination of project + 5 years"/>
          <xsd:enumeration value="Termination of relationship + 5 years"/>
          <xsd:enumeration value="Termination of representation"/>
          <xsd:enumeration value="Termination of scheme + 5 years"/>
          <xsd:enumeration value="Termination of sponsorship + 6 years"/>
          <xsd:enumeration value="Termination of status as 'competent person'"/>
          <xsd:enumeration value="Termination of student relationship + 6 years"/>
          <xsd:enumeration value="Termination of supply contract awarded + 6 years"/>
          <xsd:enumeration value="Until all catalogues based on the scheme are superseded"/>
          <xsd:enumeration value="While current"/>
          <xsd:enumeration value="While current (or likely to be current)"/>
          <xsd:enumeration value="While current + 1 year"/>
          <xsd:enumeration value="While materials are current"/>
          <xsd:enumeration value="While prize is awarded"/>
          <xsd:enumeration value="Wind-up/Disposal of company + 6 years"/>
        </xsd:restriction>
      </xsd:simpleType>
    </xsd:element>
    <xsd:element name="j928f9099e4145f8a1f3a9d8f7b9fe40" ma:index="17" ma:taxonomy="true" ma:internalName="j928f9099e4145f8a1f3a9d8f7b9fe40" ma:taxonomyFieldName="UHI_x0020_classification" ma:displayName="UHI classification" ma:readOnly="false" ma:fieldId="{3928f909-9e41-45f8-a1f3-a9d8f7b9fe40}" ma:sspId="b08f9bd9-3094-4ce7-b0b7-c3aa025461b8" ma:termSetId="61a1d7e9-b8a9-4e39-b9ad-4b81c8c47e6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f4093521-f744-424f-badf-d46f55ef15b9}" ma:internalName="TaxCatchAll" ma:readOnly="false" ma:showField="CatchAllData" ma:web="7d750aa3-c304-4ac2-a3b6-ed12a44f3654">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f4093521-f744-424f-badf-d46f55ef15b9}" ma:internalName="TaxCatchAllLabel" ma:readOnly="true" ma:showField="CatchAllDataLabel" ma:web="7d750aa3-c304-4ac2-a3b6-ed12a44f3654">
      <xsd:complexType>
        <xsd:complexContent>
          <xsd:extension base="dms:MultiChoiceLookup">
            <xsd:sequence>
              <xsd:element name="Value" type="dms:Lookup" maxOccurs="unbounded" minOccurs="0" nillable="true"/>
            </xsd:sequence>
          </xsd:extension>
        </xsd:complexContent>
      </xsd:complexType>
    </xsd:element>
    <xsd:element name="n0164ad3d5b84a57907af32d91eb6282" ma:index="31" nillable="true" ma:taxonomy="true" ma:internalName="n0164ad3d5b84a57907af32d91eb6282" ma:taxonomyFieldName="Document_x0020_category0" ma:displayName="Document category" ma:readOnly="false" ma:default="" ma:fieldId="{f13351a5-9ca1-41a8-9f13-9c7ef6554456}" ma:sspId="b08f9bd9-3094-4ce7-b0b7-c3aa025461b8" ma:termSetId="dada7266-7d6e-475c-8748-82fe8ccbf04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c69c838-2a37-4aa6-b816-de272965bf9b" elementFormDefault="qualified">
    <xsd:import namespace="http://schemas.microsoft.com/office/2006/documentManagement/types"/>
    <xsd:import namespace="http://schemas.microsoft.com/office/infopath/2007/PartnerControls"/>
    <xsd:element name="Academic_x0020_year" ma:index="3" nillable="true" ma:displayName="Academic year" ma:default="2023/24" ma:format="Dropdown" ma:internalName="Academic_x0020_year0" ma:readOnly="false">
      <xsd:simpleType>
        <xsd:restriction base="dms:Choice">
          <xsd:enumeration value="1997/98"/>
          <xsd:enumeration value="1998/99"/>
          <xsd:enumeration value="1999/00"/>
          <xsd:enumeration value="2000/01"/>
          <xsd:enumeration value="2001/02"/>
          <xsd:enumeration value="2002/03"/>
          <xsd:enumeration value="2003/04"/>
          <xsd:enumeration value="2004/05"/>
          <xsd:enumeration value="2005/06"/>
          <xsd:enumeration value="2006/07"/>
          <xsd:enumeration value="2007/08"/>
          <xsd:enumeration value="2008/09"/>
          <xsd:enumeration value="2009/10"/>
          <xsd:enumeration value="2010/11"/>
          <xsd:enumeration value="2011/12"/>
          <xsd:enumeration value="2012/13"/>
          <xsd:enumeration value="2013/14"/>
          <xsd:enumeration value="2014/15"/>
          <xsd:enumeration value="2015/16"/>
          <xsd:enumeration value="2016/17"/>
          <xsd:enumeration value="2017/18"/>
          <xsd:enumeration value="2018/19"/>
          <xsd:enumeration value="2019/20"/>
          <xsd:enumeration value="2020/21"/>
          <xsd:enumeration value="2021/22"/>
          <xsd:enumeration value="2022/23"/>
          <xsd:enumeration value="2023/24"/>
          <xsd:enumeration value="2024/25"/>
          <xsd:enumeration value="2025/26"/>
          <xsd:enumeration value="2026/27"/>
          <xsd:enumeration value="2027/28"/>
        </xsd:restriction>
      </xsd:simpleType>
    </xsd:element>
    <xsd:element name="Policy_x0020_code" ma:index="10" nillable="true" ma:displayName="Policy code" ma:internalName="Policy_x0020_code" ma:readOnly="false">
      <xsd:simpleType>
        <xsd:restriction base="dms:Text">
          <xsd:maxLength value="255"/>
        </xsd:restriction>
      </xsd:simpleType>
    </xsd:element>
    <xsd:element name="i6xd" ma:index="11" nillable="true" ma:displayName="Person or Group" ma:list="UserInfo" ma:SearchPeopleOnly="false" ma:SharePointGroup="0" ma:internalName="i6x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x0064_mq9" ma:index="12" nillable="true" ma:displayName="Policy category" ma:internalName="_x0064_mq9" ma:readOnly="false">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hidden="true" ma:internalName="MediaServiceKeyPoint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ternalName="MediaServiceDateTaken" ma:readOnly="true">
      <xsd:simpleType>
        <xsd:restriction base="dms:Text"/>
      </xsd:simpleType>
    </xsd:element>
    <xsd:element name="MediaServiceOCR" ma:index="34" nillable="true" ma:displayName="Extracted Text" ma:hidden="true" ma:internalName="MediaServiceOCR" ma:readOnly="true">
      <xsd:simpleType>
        <xsd:restriction base="dms:Note"/>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Scope" ma:index="39" nillable="true" ma:displayName="Scope" ma:default="University Staff Only" ma:format="Dropdown" ma:internalName="Scope">
      <xsd:simpleType>
        <xsd:restriction base="dms:Choice">
          <xsd:enumeration value="University Staff Only"/>
          <xsd:enumeration value="All Partnership Staff"/>
          <xsd:enumeration value="All Partnership Staff and Students"/>
          <xsd:enumeration value="Al Partnership Staff, Students and External Examiners"/>
          <xsd:enumeration value="All Partnership Staff, Students, External Examiners and EX Staff"/>
          <xsd:enumeration value="All Partnership Staff, External Examiners and EX Staff"/>
          <xsd:enumeration value="All Partnership Staff and External Examiners"/>
          <xsd:enumeration value="All Partnership Staff, Students and Externals"/>
          <xsd:enumeration value="All Partnership Staff and Externals"/>
        </xsd:restriction>
      </xsd:simpleType>
    </xsd:element>
    <xsd:element name="PolicyOwner" ma:index="40" nillable="true" ma:displayName="Policy Owner" ma:format="Dropdown" ma:list="UserInfo" ma:SharePointGroup="0" ma:internalName="Policy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41" nillable="true" ma:displayName="MediaLengthInSeconds" ma:hidden="true" ma:internalName="MediaLengthInSeconds" ma:readOnly="true">
      <xsd:simpleType>
        <xsd:restriction base="dms:Unknown"/>
      </xsd:simpleType>
    </xsd:element>
    <xsd:element name="UHIPartnershipPractitionerGroupresponsibility" ma:index="42" nillable="true" ma:displayName="UHI Partnership Practitioner Group or Department responsibility" ma:format="Dropdown" ma:internalName="UHIPartnershipPractitionerGroupresponsibility">
      <xsd:simpleType>
        <xsd:restriction base="dms:Note">
          <xsd:maxLength value="255"/>
        </xsd:restriction>
      </xsd:simpleType>
    </xsd:element>
    <xsd:element name="Policyreviewer" ma:index="43" nillable="true" ma:displayName="Policy reviewer" ma:format="Dropdown" ma:internalName="Policyreviewer">
      <xsd:simpleType>
        <xsd:restriction base="dms:Text">
          <xsd:maxLength value="255"/>
        </xsd:restriction>
      </xsd:simpleType>
    </xsd:element>
    <xsd:element name="SETAreaofActivity" ma:index="44" nillable="true" ma:displayName="Responsible Executive" ma:format="Dropdown" ma:internalName="SETAreaofActivity">
      <xsd:simpleType>
        <xsd:restriction base="dms:Choice">
          <xsd:enumeration value="Chief Financial Officer"/>
          <xsd:enumeration value="Chief Operating Officer"/>
          <xsd:enumeration value="Deputy-Principal Academic and Research"/>
          <xsd:enumeration value="Vice-Principal Student Recruitment and Growth"/>
          <xsd:enumeration value="University Secretary"/>
        </xsd:restriction>
      </xsd:simpleType>
    </xsd:element>
    <xsd:element name="Directorate" ma:index="45" nillable="true" ma:displayName="Directorate" ma:format="Dropdown" ma:internalName="Directorate">
      <xsd:simpleType>
        <xsd:restriction base="dms:Choice">
          <xsd:enumeration value="Corporate Governance"/>
          <xsd:enumeration value="Economic Development and Advancement"/>
          <xsd:enumeration value="Faculty of Arts, Humanities, Business and Education"/>
          <xsd:enumeration value="Faculty of Science, Health and Engineering"/>
          <xsd:enumeration value="FE and Regional skills planning"/>
          <xsd:enumeration value="Finance"/>
          <xsd:enumeration value="Learning, Teaching and Student Experience"/>
          <xsd:enumeration value="MIS and Registry"/>
          <xsd:enumeration value="Physical and Digital Infrastructure"/>
          <xsd:enumeration value="Research and Innovation"/>
          <xsd:enumeration value="Strategy, People and Culture"/>
          <xsd:enumeration value="Student Growth including Recruitment and Marketing"/>
          <xsd:enumeration value="Transformation and Business Planning"/>
        </xsd:restriction>
      </xsd:simpleType>
    </xsd:element>
    <xsd:element name="Department" ma:index="46" nillable="true" ma:displayName="Department" ma:format="Dropdown" ma:internalName="Department">
      <xsd:simpleType>
        <xsd:restriction base="dms:Choice">
          <xsd:enumeration value="Academic Practice Development"/>
          <xsd:enumeration value="Academic Standards and Enhancement"/>
          <xsd:enumeration value="Admissions"/>
          <xsd:enumeration value="Archives and Information Governance"/>
          <xsd:enumeration value="Communications and EDI"/>
          <xsd:enumeration value="Facilities, Procurement, Residences, Health and Safety, IT Support, Sustainability"/>
          <xsd:enumeration value="Finance"/>
          <xsd:enumeration value="Human Resources"/>
          <xsd:enumeration value="International"/>
          <xsd:enumeration value="ITDI"/>
          <xsd:enumeration value="Libraries"/>
          <xsd:enumeration value="Student Recruitment"/>
          <xsd:enumeration value="Student Experience"/>
          <xsd:enumeration value="Student Records, Reporting and MIS"/>
        </xsd:restriction>
      </xsd:simpleType>
    </xsd:element>
    <xsd:element name="Version_x0020_Type_x0020__x0028_Major_x002f__x0020_Minor_x0029_" ma:index="48" nillable="true" ma:displayName="Version Type (Major/ Minor)" ma:default="Major" ma:format="Dropdown" ma:internalName="Version_x0020_Type_x0020__x0028_Major_x002f__x0020_Minor_x0029_">
      <xsd:simpleType>
        <xsd:restriction base="dms:Choice">
          <xsd:enumeration value="Major"/>
          <xsd:enumeration value="Minor"/>
        </xsd:restriction>
      </xsd:simpleType>
    </xsd:element>
    <xsd:element name="Last_x0020_Reviewed_x0020_Date" ma:index="49" ma:displayName="Last Reviewed Date" ma:format="DateOnly" ma:internalName="Last_x0020_Reviewed_x0020_Date">
      <xsd:simpleType>
        <xsd:restriction base="dms:DateTime"/>
      </xsd:simpleType>
    </xsd:element>
    <xsd:element name="Review_x0020_cycle_x0020__x0028_months_x0029_" ma:index="50" ma:displayName="Review cycle (months)" ma:default="36" ma:format="Dropdown" ma:internalName="Review_x0020_cycle_x0020__x0028_months_x0029_"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7d750aa3-c304-4ac2-a3b6-ed12a44f3654" elementFormDefault="qualified">
    <xsd:import namespace="http://schemas.microsoft.com/office/2006/documentManagement/types"/>
    <xsd:import namespace="http://schemas.microsoft.com/office/infopath/2007/PartnerControls"/>
    <xsd:element name="Next_x0020_review_x0020_date" ma:index="7" nillable="true" ma:displayName="Next review date" ma:format="DateOnly" ma:internalName="Next_x0020_review_x0020_date" ma:readOnly="false">
      <xsd:simpleType>
        <xsd:restriction base="dms:DateTime"/>
      </xsd:simpleType>
    </xsd:element>
    <xsd:element name="Policy_x0020_owner_x0020__x0028_Department_x0029_" ma:index="8" ma:displayName="Owner (Department)" ma:default="Academic Directorate" ma:format="Dropdown" ma:internalName="Policy_x0020_owner_x0020__x0028_Department_x0029_" ma:readOnly="false">
      <xsd:simpleType>
        <xsd:restriction base="dms:Choice">
          <xsd:enumeration value="Academic Directorate"/>
          <xsd:enumeration value="Academic Registry"/>
          <xsd:enumeration value="Communications"/>
          <xsd:enumeration value="Corporate Governance"/>
          <xsd:enumeration value="Development"/>
          <xsd:enumeration value="Enterprise"/>
          <xsd:enumeration value="Facilities"/>
          <xsd:enumeration value="Finance"/>
          <xsd:enumeration value="Governance and Records Management"/>
          <xsd:enumeration value="Human Resources"/>
          <xsd:enumeration value="Internal Audit"/>
          <xsd:enumeration value="ITDI"/>
          <xsd:enumeration value="Learning and Teaching"/>
          <xsd:enumeration value="LIS"/>
          <xsd:enumeration value="Marketing"/>
          <xsd:enumeration value="Research"/>
          <xsd:enumeration value="Student Registry"/>
          <xsd:enumeration value="Student Services"/>
        </xsd:restriction>
      </xsd:simpleType>
    </xsd:element>
    <xsd:element name="gb62d9f7f39b4eb293c666f5a8e278c8" ma:index="18" nillable="true" ma:taxonomy="true" ma:internalName="gb62d9f7f39b4eb293c666f5a8e278c8" ma:taxonomyFieldName="Approving_x0020_Committee" ma:displayName="Approving Committee" ma:readOnly="false" ma:fieldId="{0b62d9f7-f39b-4eb2-93c6-66f5a8e278c8}" ma:sspId="b08f9bd9-3094-4ce7-b0b7-c3aa025461b8" ma:termSetId="f483ae81-4a0e-497a-955c-a96a72c98b21" ma:anchorId="00000000-0000-0000-0000-000000000000" ma:open="false" ma:isKeyword="false">
      <xsd:complexType>
        <xsd:sequence>
          <xsd:element ref="pc:Terms" minOccurs="0" maxOccurs="1"/>
        </xsd:sequence>
      </xsd:complexType>
    </xsd:element>
    <xsd:element name="SharedWithUsers" ma:index="2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displayName="Content Type"/>
        <xsd:element ref="dc:title" minOccurs="0" maxOccurs="1" ma:index="1" ma:displayName="Statu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gb62d9f7f39b4eb293c666f5a8e278c8 xmlns="7d750aa3-c304-4ac2-a3b6-ed12a44f3654">
      <Terms xmlns="http://schemas.microsoft.com/office/infopath/2007/PartnerControls">
        <TermInfo xmlns="http://schemas.microsoft.com/office/infopath/2007/PartnerControls">
          <TermName xmlns="http://schemas.microsoft.com/office/infopath/2007/PartnerControls">Finance and General Purposes Committee (FGPC)</TermName>
          <TermId xmlns="http://schemas.microsoft.com/office/infopath/2007/PartnerControls">3775a599-858d-478f-bee8-64c226990525</TermId>
        </TermInfo>
      </Terms>
    </gb62d9f7f39b4eb293c666f5a8e278c8>
    <i6xd xmlns="3c69c838-2a37-4aa6-b816-de272965bf9b">
      <UserInfo>
        <DisplayName/>
        <AccountId xsi:nil="true"/>
        <AccountType/>
      </UserInfo>
    </i6xd>
    <Policy_x0020_code xmlns="3c69c838-2a37-4aa6-b816-de272965bf9b">POL063</Policy_x0020_code>
    <Policy_x0020_owner_x0020__x0028_Department_x0029_ xmlns="7d750aa3-c304-4ac2-a3b6-ed12a44f3654">Governance and Records Management</Policy_x0020_owner_x0020__x0028_Department_x0029_>
    <Next_x0020_review_x0020_date xmlns="7d750aa3-c304-4ac2-a3b6-ed12a44f3654">2024-10-18T23:00:00+00:00</Next_x0020_review_x0020_date>
    <TaxCatchAll xmlns="0e688173-6920-4db4-a106-52e1f932be5c">
      <Value>2</Value>
      <Value>9</Value>
      <Value>7</Value>
    </TaxCatchAll>
    <Retention_x0020_schedule xmlns="0e688173-6920-4db4-a106-52e1f932be5c" xsi:nil="true"/>
    <_x0064_mq9 xmlns="3c69c838-2a37-4aa6-b816-de272965bf9b">Governance and Compliance</_x0064_mq9>
    <lcf76f155ced4ddcb4097134ff3c332f xmlns="3c69c838-2a37-4aa6-b816-de272965bf9b">
      <Terms xmlns="http://schemas.microsoft.com/office/infopath/2007/PartnerControls"/>
    </lcf76f155ced4ddcb4097134ff3c332f>
    <n0164ad3d5b84a57907af32d91eb6282 xmlns="0e688173-6920-4db4-a106-52e1f932be5c">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08761808-c83d-4bfe-b217-c2279de55f95</TermId>
        </TermInfo>
      </Terms>
    </n0164ad3d5b84a57907af32d91eb6282>
    <Academic_x0020_year xmlns="3c69c838-2a37-4aa6-b816-de272965bf9b">2022-23</Academic_x0020_year>
    <j928f9099e4145f8a1f3a9d8f7b9fe40 xmlns="0e688173-6920-4db4-a106-52e1f932be5c">
      <Terms xmlns="http://schemas.microsoft.com/office/infopath/2007/PartnerControls">
        <TermInfo xmlns="http://schemas.microsoft.com/office/infopath/2007/PartnerControls">
          <TermName xmlns="http://schemas.microsoft.com/office/infopath/2007/PartnerControls">Governance structure and rules development</TermName>
          <TermId xmlns="http://schemas.microsoft.com/office/infopath/2007/PartnerControls">07a7db4b-8812-436f-80cf-253f000a4b2b</TermId>
        </TermInfo>
      </Terms>
    </j928f9099e4145f8a1f3a9d8f7b9fe40>
    <SharedWithUsers xmlns="7d750aa3-c304-4ac2-a3b6-ed12a44f3654">
      <UserInfo>
        <DisplayName>Simon Young</DisplayName>
        <AccountId>117</AccountId>
        <AccountType/>
      </UserInfo>
      <UserInfo>
        <DisplayName>Jamie Lawrence</DisplayName>
        <AccountId>4438</AccountId>
        <AccountType/>
      </UserInfo>
      <UserInfo>
        <DisplayName>Nicholas Oakley</DisplayName>
        <AccountId>9792</AccountId>
        <AccountType/>
      </UserInfo>
    </SharedWithUsers>
    <Scope xmlns="3c69c838-2a37-4aa6-b816-de272965bf9b">University Staff Only</Scope>
    <PolicyOwner xmlns="3c69c838-2a37-4aa6-b816-de272965bf9b">
      <UserInfo>
        <DisplayName/>
        <AccountId xsi:nil="true"/>
        <AccountType/>
      </UserInfo>
    </PolicyOwner>
    <UHIPartnershipPractitionerGroupresponsibility xmlns="3c69c838-2a37-4aa6-b816-de272965bf9b" xsi:nil="true"/>
    <Policyreviewer xmlns="3c69c838-2a37-4aa6-b816-de272965bf9b" xsi:nil="true"/>
    <SETAreaofActivity xmlns="3c69c838-2a37-4aa6-b816-de272965bf9b">Chief Financial Officer</SETAreaofActivity>
    <Department xmlns="3c69c838-2a37-4aa6-b816-de272965bf9b" xsi:nil="true"/>
    <Directorate xmlns="3c69c838-2a37-4aa6-b816-de272965bf9b" xsi:nil="true"/>
    <Version_x0020_Type_x0020__x0028_Major_x002f__x0020_Minor_x0029_ xmlns="3c69c838-2a37-4aa6-b816-de272965bf9b">Major</Version_x0020_Type_x0020__x0028_Major_x002f__x0020_Minor_x0029_>
    <Last_x0020_Reviewed_x0020_Date xmlns="3c69c838-2a37-4aa6-b816-de272965bf9b">2026-08-17T23:00:00+00:00</Last_x0020_Reviewed_x0020_Date>
    <Review_x0020_cycle_x0020__x0028_months_x0029_ xmlns="3c69c838-2a37-4aa6-b816-de272965bf9b">36</Review_x0020_cycle_x0020__x0028_months_x0029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7A2C7F-D4B3-4C0E-998E-C567B4C9FD3C}">
  <ds:schemaRefs>
    <ds:schemaRef ds:uri="Microsoft.SharePoint.Taxonomy.ContentTypeSync"/>
  </ds:schemaRefs>
</ds:datastoreItem>
</file>

<file path=customXml/itemProps2.xml><?xml version="1.0" encoding="utf-8"?>
<ds:datastoreItem xmlns:ds="http://schemas.openxmlformats.org/officeDocument/2006/customXml" ds:itemID="{C6686792-2F9A-4F46-B221-8A02E3B6AB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88173-6920-4db4-a106-52e1f932be5c"/>
    <ds:schemaRef ds:uri="3c69c838-2a37-4aa6-b816-de272965bf9b"/>
    <ds:schemaRef ds:uri="7d750aa3-c304-4ac2-a3b6-ed12a44f3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5997BC-4B01-4EF8-8B2E-281AE2A708E5}">
  <ds:schemaRefs>
    <ds:schemaRef ds:uri="http://schemas.microsoft.com/office/2006/metadata/properties"/>
    <ds:schemaRef ds:uri="http://schemas.microsoft.com/office/infopath/2007/PartnerControls"/>
    <ds:schemaRef ds:uri="7d750aa3-c304-4ac2-a3b6-ed12a44f3654"/>
    <ds:schemaRef ds:uri="3c69c838-2a37-4aa6-b816-de272965bf9b"/>
    <ds:schemaRef ds:uri="0e688173-6920-4db4-a106-52e1f932be5c"/>
  </ds:schemaRefs>
</ds:datastoreItem>
</file>

<file path=customXml/itemProps4.xml><?xml version="1.0" encoding="utf-8"?>
<ds:datastoreItem xmlns:ds="http://schemas.openxmlformats.org/officeDocument/2006/customXml" ds:itemID="{39CCF140-374B-4DA4-8966-EAA214381F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1630</Words>
  <Characters>9294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Active policy</vt:lpstr>
    </vt:vector>
  </TitlesOfParts>
  <Company>University of the Highlands and Islands</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Active policy</dc:title>
  <dc:creator>Nicholas Oakley</dc:creator>
  <cp:lastModifiedBy>Nicholas Oakley</cp:lastModifiedBy>
  <cp:revision>11</cp:revision>
  <dcterms:created xsi:type="dcterms:W3CDTF">2022-10-19T15:10:00Z</dcterms:created>
  <dcterms:modified xsi:type="dcterms:W3CDTF">2026-08-18T10:49:00Z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2018-06-12T00:00:00Z</vt:filetime>
  </property>
  <property fmtid="{D5CDD505-2E9C-101B-9397-08002B2CF9AE}" pid="3" name="Creator">
    <vt:lpwstr>Acrobat PDFMaker 15 for Word</vt:lpwstr>
  </property>
  <property fmtid="{D5CDD505-2E9C-101B-9397-08002B2CF9AE}" pid="4" name="LastSaved">
    <vt:filetime>2022-04-29T00:00:00Z</vt:filetime>
  </property>
  <property fmtid="{D5CDD505-2E9C-101B-9397-08002B2CF9AE}" pid="5" name="Approving Committee">
    <vt:lpwstr>2;#Finance and General Purposes Committee (FGPC)|3775a599-858d-478f-bee8-64c226990525</vt:lpwstr>
  </property>
  <property fmtid="{D5CDD505-2E9C-101B-9397-08002B2CF9AE}" pid="6" name="Document category0">
    <vt:lpwstr>7;#Policy|08761808-c83d-4bfe-b217-c2279de55f95</vt:lpwstr>
  </property>
  <property fmtid="{D5CDD505-2E9C-101B-9397-08002B2CF9AE}" pid="7" name="SharedWithUsers">
    <vt:lpwstr>117;#Simon Young;#4438;#Jamie Lawrence;#9792;#Nicholas Oakley</vt:lpwstr>
  </property>
  <property fmtid="{D5CDD505-2E9C-101B-9397-08002B2CF9AE}" pid="8" name="ContentTypeId">
    <vt:lpwstr>0x010100AAD73BA2634B424AB47E3F5D439BEB59008296AD452A7A9D47874018381546D1E40058AE563E2F814E48B3E2AC62C42DC8EA</vt:lpwstr>
  </property>
  <property fmtid="{D5CDD505-2E9C-101B-9397-08002B2CF9AE}" pid="9" name="UHI classification">
    <vt:lpwstr>9;#Governance structure and rules development|07a7db4b-8812-436f-80cf-253f000a4b2b</vt:lpwstr>
  </property>
  <property fmtid="{D5CDD505-2E9C-101B-9397-08002B2CF9AE}" pid="10" name="_dlc_DocIdItemGuid">
    <vt:lpwstr>d86de599-d0eb-4cb5-914a-52a482a30c90</vt:lpwstr>
  </property>
  <property fmtid="{D5CDD505-2E9C-101B-9397-08002B2CF9AE}" pid="11" name="Document category1">
    <vt:lpwstr>7;#Policy|08761808-c83d-4bfe-b217-c2279de55f95</vt:lpwstr>
  </property>
  <property fmtid="{D5CDD505-2E9C-101B-9397-08002B2CF9AE}" pid="12" name="MediaServiceImageTags">
    <vt:lpwstr/>
  </property>
  <property fmtid="{D5CDD505-2E9C-101B-9397-08002B2CF9AE}" pid="13" name="Approving_x0020_Committee">
    <vt:lpwstr>2;#Finance and General Purposes Committee (FGPC)|3775a599-858d-478f-bee8-64c226990525</vt:lpwstr>
  </property>
  <property fmtid="{D5CDD505-2E9C-101B-9397-08002B2CF9AE}" pid="14" name="UHI_x0020_classification">
    <vt:lpwstr>9;#Governance structure and rules development|07a7db4b-8812-436f-80cf-253f000a4b2b</vt:lpwstr>
  </property>
  <property fmtid="{D5CDD505-2E9C-101B-9397-08002B2CF9AE}" pid="15" name="Document_x0020_category0">
    <vt:lpwstr>7;#Policy|08761808-c83d-4bfe-b217-c2279de55f95</vt:lpwstr>
  </property>
  <property fmtid="{D5CDD505-2E9C-101B-9397-08002B2CF9AE}" pid="16" name="Document_x0020_category1">
    <vt:lpwstr>7;#Policy|08761808-c83d-4bfe-b217-c2279de55f95</vt:lpwstr>
  </property>
  <property fmtid="{D5CDD505-2E9C-101B-9397-08002B2CF9AE}" pid="17" name="MSIP_Label_1db2dcfb-08c8-4789-b9ce-33033c4e7aaf_Enabled">
    <vt:lpwstr>True</vt:lpwstr>
  </property>
  <property fmtid="{D5CDD505-2E9C-101B-9397-08002B2CF9AE}" pid="18" name="MSIP_Label_1db2dcfb-08c8-4789-b9ce-33033c4e7aaf_SiteId">
    <vt:lpwstr>20e4f9dc-e1dc-4f42-ab27-de7c2042ea63</vt:lpwstr>
  </property>
  <property fmtid="{D5CDD505-2E9C-101B-9397-08002B2CF9AE}" pid="19" name="MSIP_Label_1db2dcfb-08c8-4789-b9ce-33033c4e7aaf_SetDate">
    <vt:lpwstr>2026-06-27T03:58:35Z</vt:lpwstr>
  </property>
  <property fmtid="{D5CDD505-2E9C-101B-9397-08002B2CF9AE}" pid="20" name="MSIP_Label_1db2dcfb-08c8-4789-b9ce-33033c4e7aaf_Name">
    <vt:lpwstr>General</vt:lpwstr>
  </property>
  <property fmtid="{D5CDD505-2E9C-101B-9397-08002B2CF9AE}" pid="21" name="MSIP_Label_1db2dcfb-08c8-4789-b9ce-33033c4e7aaf_ActionId">
    <vt:lpwstr>269101c6-f179-4b2d-8016-6fd69596f85e</vt:lpwstr>
  </property>
  <property fmtid="{D5CDD505-2E9C-101B-9397-08002B2CF9AE}" pid="22" name="MSIP_Label_1db2dcfb-08c8-4789-b9ce-33033c4e7aaf_Removed">
    <vt:lpwstr>False</vt:lpwstr>
  </property>
  <property fmtid="{D5CDD505-2E9C-101B-9397-08002B2CF9AE}" pid="23" name="MSIP_Label_1db2dcfb-08c8-4789-b9ce-33033c4e7aaf_Extended_MSFT_Method">
    <vt:lpwstr>Standard</vt:lpwstr>
  </property>
  <property fmtid="{D5CDD505-2E9C-101B-9397-08002B2CF9AE}" pid="24" name="Sensitivity">
    <vt:lpwstr>General</vt:lpwstr>
  </property>
</Properties>
</file>