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8D0D8" w14:textId="02F09394" w:rsidR="00907E82" w:rsidRPr="00D528C6" w:rsidRDefault="00A6435D">
      <w:pPr>
        <w:rPr>
          <w:rFonts w:cstheme="minorHAnsi"/>
          <w:b/>
          <w:bCs/>
          <w:sz w:val="28"/>
          <w:szCs w:val="28"/>
          <w:lang w:val="en-IE"/>
        </w:rPr>
      </w:pPr>
      <w:bookmarkStart w:id="0" w:name="_GoBack"/>
      <w:bookmarkEnd w:id="0"/>
      <w:r w:rsidRPr="00D528C6">
        <w:rPr>
          <w:rFonts w:cstheme="minorHAnsi"/>
          <w:b/>
          <w:bCs/>
          <w:sz w:val="28"/>
          <w:szCs w:val="28"/>
          <w:lang w:val="en-IE"/>
        </w:rPr>
        <w:t xml:space="preserve">Inverness College UHI: </w:t>
      </w:r>
      <w:r w:rsidR="00197119" w:rsidRPr="00D528C6">
        <w:rPr>
          <w:rFonts w:cstheme="minorHAnsi"/>
          <w:b/>
          <w:bCs/>
          <w:sz w:val="28"/>
          <w:szCs w:val="28"/>
          <w:lang w:val="en-IE"/>
        </w:rPr>
        <w:t>Outcome Agreement Self-evaluation Report 2018-19</w:t>
      </w:r>
    </w:p>
    <w:p w14:paraId="09664360" w14:textId="2DB953E1" w:rsidR="00197119" w:rsidRPr="00F170E4" w:rsidRDefault="00197119" w:rsidP="00CC0131">
      <w:pPr>
        <w:pStyle w:val="ListParagraph"/>
        <w:numPr>
          <w:ilvl w:val="0"/>
          <w:numId w:val="1"/>
        </w:numPr>
        <w:ind w:left="357" w:hanging="357"/>
        <w:contextualSpacing w:val="0"/>
        <w:rPr>
          <w:rFonts w:cstheme="minorHAnsi"/>
          <w:b/>
          <w:bCs/>
          <w:sz w:val="24"/>
          <w:szCs w:val="24"/>
          <w:lang w:val="en-IE"/>
        </w:rPr>
      </w:pPr>
      <w:r w:rsidRPr="00F170E4">
        <w:rPr>
          <w:rFonts w:cstheme="minorHAnsi"/>
          <w:b/>
          <w:bCs/>
          <w:sz w:val="24"/>
          <w:szCs w:val="24"/>
          <w:lang w:val="en-IE"/>
        </w:rPr>
        <w:t>How good is our recruitment?</w:t>
      </w:r>
    </w:p>
    <w:p w14:paraId="1EB51C3F" w14:textId="77777777" w:rsidR="00CC0131" w:rsidRPr="00F170E4" w:rsidRDefault="00CC0131" w:rsidP="00CC0131">
      <w:pPr>
        <w:pStyle w:val="ListParagraph"/>
        <w:numPr>
          <w:ilvl w:val="1"/>
          <w:numId w:val="1"/>
        </w:numPr>
        <w:ind w:left="403" w:hanging="403"/>
        <w:contextualSpacing w:val="0"/>
        <w:rPr>
          <w:rFonts w:cstheme="minorHAnsi"/>
          <w:sz w:val="24"/>
          <w:szCs w:val="24"/>
          <w:lang w:val="en-IE"/>
        </w:rPr>
      </w:pPr>
      <w:r w:rsidRPr="00F170E4">
        <w:rPr>
          <w:rFonts w:cstheme="minorHAnsi"/>
          <w:sz w:val="24"/>
          <w:szCs w:val="24"/>
          <w:lang w:val="en-IE"/>
        </w:rPr>
        <w:t>Summary:</w:t>
      </w:r>
    </w:p>
    <w:p w14:paraId="46C7B85E" w14:textId="4E7F59E7" w:rsidR="00CC0131" w:rsidRPr="00F170E4" w:rsidRDefault="00CC0131" w:rsidP="00CC0131">
      <w:pPr>
        <w:pStyle w:val="ListParagraph"/>
        <w:ind w:left="403"/>
        <w:contextualSpacing w:val="0"/>
        <w:rPr>
          <w:rFonts w:cstheme="minorHAnsi"/>
          <w:sz w:val="24"/>
          <w:szCs w:val="24"/>
          <w:lang w:val="en-IE"/>
        </w:rPr>
      </w:pPr>
      <w:r w:rsidRPr="00F170E4">
        <w:rPr>
          <w:rFonts w:cstheme="minorHAnsi"/>
          <w:sz w:val="24"/>
          <w:szCs w:val="24"/>
          <w:lang w:val="en-IE"/>
        </w:rPr>
        <w:t>The college delivered 100.6% of its total credit target in 2018-19, a</w:t>
      </w:r>
      <w:r w:rsidR="000468E4" w:rsidRPr="00F170E4">
        <w:rPr>
          <w:rFonts w:cstheme="minorHAnsi"/>
          <w:sz w:val="24"/>
          <w:szCs w:val="24"/>
          <w:lang w:val="en-IE"/>
        </w:rPr>
        <w:t>mounting to</w:t>
      </w:r>
      <w:r w:rsidRPr="00F170E4">
        <w:rPr>
          <w:rFonts w:cstheme="minorHAnsi"/>
          <w:sz w:val="24"/>
          <w:szCs w:val="24"/>
          <w:lang w:val="en-IE"/>
        </w:rPr>
        <w:t xml:space="preserve"> 25.7% of the region’s total credits. 6% of credits were delivered to learners from the 10% most deprived postcode areas, a slight increase on 2017-18 and in line with the local demographic. The proportion of credits delivered to learners with a declared disability rose to 25.8%. The proportion of credits delivered to learners under 20 years of age fell from 57.3% to 53.9%.  Credit activity for School Link programmes reduced slightly in 2018-19 (from 8.5% to 6.8% of total credit activity), as did the proportion of credits delivered to senior phase pupils on the SFC’s definition of ‘senior phase vocational pathways’ (from 3.1% to 1.4%). </w:t>
      </w:r>
      <w:r w:rsidR="000468E4" w:rsidRPr="00F170E4">
        <w:rPr>
          <w:rFonts w:cstheme="minorHAnsi"/>
          <w:sz w:val="24"/>
          <w:szCs w:val="24"/>
          <w:lang w:val="en-IE"/>
        </w:rPr>
        <w:t>However, c</w:t>
      </w:r>
      <w:r w:rsidRPr="00F170E4">
        <w:rPr>
          <w:rFonts w:cstheme="minorHAnsi"/>
          <w:sz w:val="24"/>
          <w:szCs w:val="24"/>
          <w:lang w:val="en-IE"/>
        </w:rPr>
        <w:t xml:space="preserve">redit funding of Foundation Apprenticeships ceased </w:t>
      </w:r>
      <w:r w:rsidR="000468E4" w:rsidRPr="00F170E4">
        <w:rPr>
          <w:rFonts w:cstheme="minorHAnsi"/>
          <w:sz w:val="24"/>
          <w:szCs w:val="24"/>
          <w:lang w:val="en-IE"/>
        </w:rPr>
        <w:t>at the end of 2017-18</w:t>
      </w:r>
      <w:r w:rsidRPr="00F170E4">
        <w:rPr>
          <w:rFonts w:cstheme="minorHAnsi"/>
          <w:sz w:val="24"/>
          <w:szCs w:val="24"/>
          <w:lang w:val="en-IE"/>
        </w:rPr>
        <w:t xml:space="preserve"> so a comparison by credit activity is not reliable. The number of pupils </w:t>
      </w:r>
      <w:r w:rsidR="000468E4" w:rsidRPr="00F170E4">
        <w:rPr>
          <w:rFonts w:cstheme="minorHAnsi"/>
          <w:sz w:val="24"/>
          <w:szCs w:val="24"/>
          <w:lang w:val="en-IE"/>
        </w:rPr>
        <w:t xml:space="preserve">enrolled </w:t>
      </w:r>
      <w:r w:rsidRPr="00F170E4">
        <w:rPr>
          <w:rFonts w:cstheme="minorHAnsi"/>
          <w:sz w:val="24"/>
          <w:szCs w:val="24"/>
          <w:lang w:val="en-IE"/>
        </w:rPr>
        <w:t>on vocational pathways dropped from 162 to 150, although the total number of school pupils enrolled across all programmes increased from 734 to 751.</w:t>
      </w:r>
      <w:r w:rsidR="00061DFA" w:rsidRPr="00F170E4">
        <w:rPr>
          <w:rFonts w:cstheme="minorHAnsi"/>
          <w:sz w:val="24"/>
          <w:szCs w:val="24"/>
          <w:lang w:val="en-IE"/>
        </w:rPr>
        <w:t xml:space="preserve"> </w:t>
      </w:r>
      <w:r w:rsidR="00FA3977">
        <w:rPr>
          <w:rFonts w:cstheme="minorHAnsi"/>
          <w:sz w:val="24"/>
          <w:szCs w:val="24"/>
          <w:lang w:val="en-IE"/>
        </w:rPr>
        <w:t xml:space="preserve">The proportion of credits delivered to care experienced learners remained </w:t>
      </w:r>
      <w:r w:rsidR="00A739B3">
        <w:rPr>
          <w:rFonts w:cstheme="minorHAnsi"/>
          <w:sz w:val="24"/>
          <w:szCs w:val="24"/>
          <w:lang w:val="en-IE"/>
        </w:rPr>
        <w:t>high</w:t>
      </w:r>
      <w:r w:rsidR="00FA3977">
        <w:rPr>
          <w:rFonts w:cstheme="minorHAnsi"/>
          <w:sz w:val="24"/>
          <w:szCs w:val="24"/>
          <w:lang w:val="en-IE"/>
        </w:rPr>
        <w:t xml:space="preserve"> at just over 3%. </w:t>
      </w:r>
      <w:r w:rsidR="00A739B3">
        <w:rPr>
          <w:rFonts w:cstheme="minorHAnsi"/>
          <w:sz w:val="24"/>
          <w:szCs w:val="24"/>
          <w:lang w:val="en-IE"/>
        </w:rPr>
        <w:t>The percentage of credits delivered on STEM courses remains high at 36%.</w:t>
      </w:r>
    </w:p>
    <w:p w14:paraId="642B0EF6" w14:textId="77777777" w:rsidR="00CC0131" w:rsidRPr="00F170E4" w:rsidRDefault="00CC0131" w:rsidP="00CC0131">
      <w:pPr>
        <w:pStyle w:val="ListParagraph"/>
        <w:numPr>
          <w:ilvl w:val="1"/>
          <w:numId w:val="1"/>
        </w:numPr>
        <w:ind w:left="403" w:hanging="403"/>
        <w:contextualSpacing w:val="0"/>
        <w:rPr>
          <w:rFonts w:cstheme="minorHAnsi"/>
          <w:sz w:val="24"/>
          <w:szCs w:val="24"/>
          <w:lang w:val="en-IE"/>
        </w:rPr>
      </w:pPr>
      <w:r w:rsidRPr="00F170E4">
        <w:rPr>
          <w:rFonts w:cstheme="minorHAnsi"/>
          <w:sz w:val="24"/>
          <w:szCs w:val="24"/>
          <w:lang w:val="en-IE"/>
        </w:rPr>
        <w:t>Evaluation:</w:t>
      </w:r>
    </w:p>
    <w:p w14:paraId="03E59F24" w14:textId="58B8EFE4" w:rsidR="000762C2" w:rsidRDefault="00CC0131" w:rsidP="000762C2">
      <w:pPr>
        <w:ind w:left="403"/>
        <w:rPr>
          <w:rFonts w:cstheme="minorHAnsi"/>
          <w:sz w:val="24"/>
          <w:szCs w:val="24"/>
          <w:lang w:val="en-IE"/>
        </w:rPr>
      </w:pPr>
      <w:r w:rsidRPr="00F170E4">
        <w:rPr>
          <w:rFonts w:cstheme="minorHAnsi"/>
          <w:sz w:val="24"/>
          <w:szCs w:val="24"/>
          <w:lang w:val="en-IE"/>
        </w:rPr>
        <w:t xml:space="preserve">Recruitment onto college FE programmes is good overall and the college achieved its FE credit target for the fifth consecutive year. </w:t>
      </w:r>
      <w:r w:rsidR="001B0393" w:rsidRPr="00F170E4">
        <w:rPr>
          <w:rFonts w:cstheme="minorHAnsi"/>
          <w:sz w:val="24"/>
          <w:szCs w:val="24"/>
          <w:lang w:val="en-IE"/>
        </w:rPr>
        <w:t xml:space="preserve">However, over the last two years the number of full-time FE enrolments has reduced, and the number of part-time enrolments has increased. The reasons for this appear to be the changing demographic and the encouragement for pupils to stay on longer at school. </w:t>
      </w:r>
      <w:r w:rsidR="004845A7" w:rsidRPr="00F170E4">
        <w:rPr>
          <w:rFonts w:cstheme="minorHAnsi"/>
          <w:sz w:val="24"/>
          <w:szCs w:val="24"/>
          <w:lang w:val="en-IE"/>
        </w:rPr>
        <w:t>The college’s</w:t>
      </w:r>
      <w:r w:rsidRPr="00F170E4">
        <w:rPr>
          <w:rFonts w:cstheme="minorHAnsi"/>
          <w:sz w:val="24"/>
          <w:szCs w:val="24"/>
          <w:lang w:val="en-IE"/>
        </w:rPr>
        <w:t xml:space="preserve"> emphasis on ensuring participation from the most deprived postcode areas has resulted in a further increase in activity from this learner group and reflects well the local demographic. </w:t>
      </w:r>
      <w:r w:rsidR="00A739B3">
        <w:rPr>
          <w:rFonts w:cstheme="minorHAnsi"/>
          <w:sz w:val="24"/>
          <w:szCs w:val="24"/>
          <w:lang w:val="en-IE"/>
        </w:rPr>
        <w:t xml:space="preserve">The college also has well developed arrangements for welcoming care experienced learners and ensuring that their needs are met. </w:t>
      </w:r>
      <w:r w:rsidRPr="00F170E4">
        <w:rPr>
          <w:rFonts w:cstheme="minorHAnsi"/>
          <w:sz w:val="24"/>
          <w:szCs w:val="24"/>
          <w:lang w:val="en-IE"/>
        </w:rPr>
        <w:t xml:space="preserve">The college makes a significant contribution to the regional strategy for the recruitment and attainment of </w:t>
      </w:r>
      <w:r w:rsidR="00A739B3">
        <w:rPr>
          <w:rFonts w:cstheme="minorHAnsi"/>
          <w:sz w:val="24"/>
          <w:szCs w:val="24"/>
          <w:lang w:val="en-IE"/>
        </w:rPr>
        <w:t xml:space="preserve">care experienced </w:t>
      </w:r>
      <w:r w:rsidRPr="00F170E4">
        <w:rPr>
          <w:rFonts w:cstheme="minorHAnsi"/>
          <w:sz w:val="24"/>
          <w:szCs w:val="24"/>
          <w:lang w:val="en-IE"/>
        </w:rPr>
        <w:t xml:space="preserve">learners </w:t>
      </w:r>
      <w:r w:rsidR="00A739B3">
        <w:rPr>
          <w:rFonts w:cstheme="minorHAnsi"/>
          <w:sz w:val="24"/>
          <w:szCs w:val="24"/>
          <w:lang w:val="en-IE"/>
        </w:rPr>
        <w:t xml:space="preserve">and those </w:t>
      </w:r>
      <w:r w:rsidRPr="00F170E4">
        <w:rPr>
          <w:rFonts w:cstheme="minorHAnsi"/>
          <w:sz w:val="24"/>
          <w:szCs w:val="24"/>
          <w:lang w:val="en-IE"/>
        </w:rPr>
        <w:t>from SIMD10 areas</w:t>
      </w:r>
      <w:r w:rsidR="000762C2" w:rsidRPr="00F170E4">
        <w:rPr>
          <w:rFonts w:cstheme="minorHAnsi"/>
          <w:sz w:val="24"/>
          <w:szCs w:val="24"/>
          <w:lang w:val="en-IE"/>
        </w:rPr>
        <w:t>, including prioritising applications from school pupils i</w:t>
      </w:r>
      <w:r w:rsidR="00A739B3">
        <w:rPr>
          <w:rFonts w:cstheme="minorHAnsi"/>
          <w:sz w:val="24"/>
          <w:szCs w:val="24"/>
          <w:lang w:val="en-IE"/>
        </w:rPr>
        <w:t>n these learner groups</w:t>
      </w:r>
      <w:r w:rsidRPr="00F170E4">
        <w:rPr>
          <w:rFonts w:cstheme="minorHAnsi"/>
          <w:sz w:val="24"/>
          <w:szCs w:val="24"/>
          <w:lang w:val="en-IE"/>
        </w:rPr>
        <w:t>. Continued close working with schools and the Local Author</w:t>
      </w:r>
      <w:r w:rsidR="001B0393" w:rsidRPr="00F170E4">
        <w:rPr>
          <w:rFonts w:cstheme="minorHAnsi"/>
          <w:sz w:val="24"/>
          <w:szCs w:val="24"/>
          <w:lang w:val="en-IE"/>
        </w:rPr>
        <w:t xml:space="preserve">ity has ensured a significant proportion of school pupils access college provision. The college works closely with North Highland College, West Highland College and the Highland Council to develop and maintain a joint, online school-college prospectus and to review and expand the senior phase offer.  The resulting </w:t>
      </w:r>
      <w:r w:rsidR="001B0393" w:rsidRPr="00F170E4">
        <w:rPr>
          <w:rFonts w:cstheme="minorHAnsi"/>
          <w:i/>
          <w:iCs/>
          <w:sz w:val="24"/>
          <w:szCs w:val="24"/>
          <w:lang w:val="en-IE"/>
        </w:rPr>
        <w:t>Highland Senior Phase Strategy</w:t>
      </w:r>
      <w:r w:rsidR="001B0393" w:rsidRPr="00F170E4">
        <w:rPr>
          <w:rFonts w:cstheme="minorHAnsi"/>
          <w:sz w:val="24"/>
          <w:szCs w:val="24"/>
          <w:lang w:val="en-IE"/>
        </w:rPr>
        <w:t xml:space="preserve"> is now informing the </w:t>
      </w:r>
      <w:r w:rsidR="005B1195" w:rsidRPr="00F170E4">
        <w:rPr>
          <w:rFonts w:cstheme="minorHAnsi"/>
          <w:sz w:val="24"/>
          <w:szCs w:val="24"/>
          <w:lang w:val="en-IE"/>
        </w:rPr>
        <w:t xml:space="preserve">UHI </w:t>
      </w:r>
      <w:r w:rsidR="001B0393" w:rsidRPr="00F170E4">
        <w:rPr>
          <w:rFonts w:cstheme="minorHAnsi"/>
          <w:sz w:val="24"/>
          <w:szCs w:val="24"/>
          <w:lang w:val="en-IE"/>
        </w:rPr>
        <w:t>regional work on school engagement.</w:t>
      </w:r>
      <w:r w:rsidR="000468E4" w:rsidRPr="00F170E4">
        <w:rPr>
          <w:rFonts w:cstheme="minorHAnsi"/>
          <w:sz w:val="24"/>
          <w:szCs w:val="24"/>
          <w:lang w:val="en-IE"/>
        </w:rPr>
        <w:t xml:space="preserve"> Maintaining and growing the uptake of Foundation Apprenticeships remains challenging, and the college, as part of the UHI Work-based Learning Hub, is exploring alternative delivery models to encourage and support participation. </w:t>
      </w:r>
      <w:r w:rsidR="00A23CCF" w:rsidRPr="00F170E4">
        <w:rPr>
          <w:rFonts w:cstheme="minorHAnsi"/>
          <w:sz w:val="24"/>
          <w:szCs w:val="24"/>
          <w:lang w:val="en-IE"/>
        </w:rPr>
        <w:t xml:space="preserve">The college is tackling occupational gender segregation through its </w:t>
      </w:r>
      <w:r w:rsidR="007A13C9" w:rsidRPr="00F170E4">
        <w:rPr>
          <w:rFonts w:cstheme="minorHAnsi"/>
          <w:i/>
          <w:iCs/>
          <w:sz w:val="24"/>
          <w:szCs w:val="24"/>
          <w:lang w:val="en-IE"/>
        </w:rPr>
        <w:t xml:space="preserve">Gender Action Plan </w:t>
      </w:r>
      <w:r w:rsidR="007A13C9" w:rsidRPr="00F170E4">
        <w:rPr>
          <w:rFonts w:cstheme="minorHAnsi"/>
          <w:sz w:val="24"/>
          <w:szCs w:val="24"/>
          <w:lang w:val="en-IE"/>
        </w:rPr>
        <w:t xml:space="preserve">and was successful in securing SFC funding for its </w:t>
      </w:r>
      <w:r w:rsidR="007A13C9" w:rsidRPr="00F170E4">
        <w:rPr>
          <w:rFonts w:cstheme="minorHAnsi"/>
          <w:i/>
          <w:iCs/>
          <w:sz w:val="24"/>
          <w:szCs w:val="24"/>
          <w:lang w:val="en-IE"/>
        </w:rPr>
        <w:t xml:space="preserve">Childcare and Men in Practice </w:t>
      </w:r>
      <w:r w:rsidR="007A13C9" w:rsidRPr="00F170E4">
        <w:rPr>
          <w:rFonts w:cstheme="minorHAnsi"/>
          <w:sz w:val="24"/>
          <w:szCs w:val="24"/>
          <w:lang w:val="en-IE"/>
        </w:rPr>
        <w:t xml:space="preserve">access course in 2018-19. The 12-week course, run in the evenings, provides a fast-track for men into the HNC Childcare. </w:t>
      </w:r>
    </w:p>
    <w:p w14:paraId="65B83E5B" w14:textId="77777777" w:rsidR="00A739B3" w:rsidRPr="00F170E4" w:rsidRDefault="00A739B3" w:rsidP="00A739B3">
      <w:pPr>
        <w:pStyle w:val="ListParagraph"/>
        <w:numPr>
          <w:ilvl w:val="0"/>
          <w:numId w:val="1"/>
        </w:numPr>
        <w:rPr>
          <w:rFonts w:cstheme="minorHAnsi"/>
          <w:b/>
          <w:bCs/>
          <w:sz w:val="24"/>
          <w:szCs w:val="24"/>
          <w:lang w:val="en-IE"/>
        </w:rPr>
      </w:pPr>
      <w:r w:rsidRPr="00F170E4">
        <w:rPr>
          <w:rFonts w:cstheme="minorHAnsi"/>
          <w:b/>
          <w:bCs/>
          <w:sz w:val="24"/>
          <w:szCs w:val="24"/>
          <w:lang w:val="en-IE"/>
        </w:rPr>
        <w:lastRenderedPageBreak/>
        <w:t>How good is our retention and attainment?</w:t>
      </w:r>
    </w:p>
    <w:p w14:paraId="683D0AEA" w14:textId="7BC3EAA8" w:rsidR="00A739B3" w:rsidRDefault="00A739B3" w:rsidP="00A739B3">
      <w:pPr>
        <w:rPr>
          <w:rFonts w:cstheme="minorHAnsi"/>
          <w:sz w:val="24"/>
          <w:szCs w:val="24"/>
          <w:lang w:val="en-IE"/>
        </w:rPr>
      </w:pPr>
      <w:r w:rsidRPr="00B447A6">
        <w:rPr>
          <w:rFonts w:cstheme="minorHAnsi"/>
          <w:sz w:val="24"/>
          <w:szCs w:val="24"/>
          <w:lang w:val="en-IE"/>
        </w:rPr>
        <w:t>Table 1: College performance against National Measures</w:t>
      </w:r>
    </w:p>
    <w:tbl>
      <w:tblPr>
        <w:tblpPr w:leftFromText="180" w:rightFromText="180" w:vertAnchor="page" w:horzAnchor="margin" w:tblpY="2391"/>
        <w:tblW w:w="9505" w:type="dxa"/>
        <w:tblLook w:val="04A0" w:firstRow="1" w:lastRow="0" w:firstColumn="1" w:lastColumn="0" w:noHBand="0" w:noVBand="1"/>
      </w:tblPr>
      <w:tblGrid>
        <w:gridCol w:w="2216"/>
        <w:gridCol w:w="1440"/>
        <w:gridCol w:w="1440"/>
        <w:gridCol w:w="1440"/>
        <w:gridCol w:w="1440"/>
        <w:gridCol w:w="1529"/>
      </w:tblGrid>
      <w:tr w:rsidR="00D528C6" w:rsidRPr="00F170E4" w14:paraId="181B909A" w14:textId="77777777" w:rsidTr="00ED030F">
        <w:trPr>
          <w:trHeight w:val="274"/>
        </w:trPr>
        <w:tc>
          <w:tcPr>
            <w:tcW w:w="22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2CE5F" w14:textId="77777777" w:rsidR="00D528C6" w:rsidRPr="00F170E4" w:rsidRDefault="00D528C6" w:rsidP="00D528C6">
            <w:pPr>
              <w:spacing w:after="0" w:line="240" w:lineRule="auto"/>
              <w:jc w:val="right"/>
              <w:rPr>
                <w:rFonts w:eastAsia="Times New Roman" w:cstheme="minorHAnsi"/>
                <w:b/>
                <w:bCs/>
                <w:color w:val="00A2AE"/>
                <w:sz w:val="20"/>
                <w:szCs w:val="20"/>
                <w:lang w:eastAsia="en-GB"/>
              </w:rPr>
            </w:pPr>
            <w:r w:rsidRPr="00F170E4">
              <w:rPr>
                <w:rFonts w:eastAsia="Times New Roman" w:cstheme="minorHAnsi"/>
                <w:b/>
                <w:bCs/>
                <w:color w:val="00A2AE"/>
                <w:sz w:val="20"/>
                <w:szCs w:val="20"/>
                <w:lang w:eastAsia="en-GB"/>
              </w:rPr>
              <w:t> </w:t>
            </w:r>
          </w:p>
          <w:p w14:paraId="7D93CB74" w14:textId="77777777" w:rsidR="00D528C6" w:rsidRPr="00F170E4" w:rsidRDefault="00D528C6" w:rsidP="00D528C6">
            <w:pPr>
              <w:spacing w:after="0" w:line="240" w:lineRule="auto"/>
              <w:jc w:val="right"/>
              <w:rPr>
                <w:rFonts w:eastAsia="Times New Roman" w:cstheme="minorHAnsi"/>
                <w:b/>
                <w:bCs/>
                <w:color w:val="00A2AE"/>
                <w:sz w:val="20"/>
                <w:szCs w:val="20"/>
                <w:lang w:eastAsia="en-GB"/>
              </w:rPr>
            </w:pPr>
            <w:r w:rsidRPr="00F170E4">
              <w:rPr>
                <w:rFonts w:eastAsia="Times New Roman" w:cstheme="minorHAnsi"/>
                <w:b/>
                <w:bCs/>
                <w:color w:val="00A2AE"/>
                <w:sz w:val="20"/>
                <w:szCs w:val="20"/>
                <w:lang w:eastAsia="en-GB"/>
              </w:rPr>
              <w:t> </w:t>
            </w:r>
          </w:p>
          <w:p w14:paraId="29F12325" w14:textId="66246511" w:rsidR="00D528C6" w:rsidRPr="00F170E4" w:rsidRDefault="00D528C6" w:rsidP="00D528C6">
            <w:pPr>
              <w:spacing w:after="0" w:line="240" w:lineRule="auto"/>
              <w:rPr>
                <w:rFonts w:eastAsia="Times New Roman" w:cstheme="minorHAnsi"/>
                <w:b/>
                <w:bCs/>
                <w:color w:val="00A2AE"/>
                <w:sz w:val="20"/>
                <w:szCs w:val="20"/>
                <w:lang w:eastAsia="en-GB"/>
              </w:rPr>
            </w:pPr>
            <w:r w:rsidRPr="00F170E4">
              <w:rPr>
                <w:rFonts w:eastAsia="Times New Roman" w:cstheme="minorHAnsi"/>
                <w:b/>
                <w:bCs/>
                <w:color w:val="363636"/>
                <w:sz w:val="20"/>
                <w:szCs w:val="20"/>
                <w:lang w:eastAsia="en-GB"/>
              </w:rPr>
              <w:t>National Measure</w:t>
            </w:r>
            <w:r>
              <w:rPr>
                <w:rFonts w:eastAsia="Times New Roman" w:cstheme="minorHAnsi"/>
                <w:b/>
                <w:bCs/>
                <w:color w:val="363636"/>
                <w:sz w:val="20"/>
                <w:szCs w:val="20"/>
                <w:lang w:eastAsia="en-GB"/>
              </w:rPr>
              <w:t xml:space="preserve">: % </w:t>
            </w:r>
            <w:r w:rsidR="00ED030F">
              <w:rPr>
                <w:rFonts w:eastAsia="Times New Roman" w:cstheme="minorHAnsi"/>
                <w:b/>
                <w:bCs/>
                <w:color w:val="363636"/>
                <w:sz w:val="20"/>
                <w:szCs w:val="20"/>
                <w:lang w:eastAsia="en-GB"/>
              </w:rPr>
              <w:t xml:space="preserve">learners </w:t>
            </w:r>
            <w:r>
              <w:rPr>
                <w:rFonts w:eastAsia="Times New Roman" w:cstheme="minorHAnsi"/>
                <w:b/>
                <w:bCs/>
                <w:color w:val="363636"/>
                <w:sz w:val="20"/>
                <w:szCs w:val="20"/>
                <w:lang w:eastAsia="en-GB"/>
              </w:rPr>
              <w:t>achieving a recognised qualification</w:t>
            </w:r>
          </w:p>
        </w:tc>
        <w:tc>
          <w:tcPr>
            <w:tcW w:w="4320" w:type="dxa"/>
            <w:gridSpan w:val="3"/>
            <w:tcBorders>
              <w:top w:val="single" w:sz="12" w:space="0" w:color="auto"/>
              <w:left w:val="single" w:sz="4" w:space="0" w:color="auto"/>
              <w:bottom w:val="single" w:sz="4" w:space="0" w:color="auto"/>
              <w:right w:val="single" w:sz="12" w:space="0" w:color="auto"/>
            </w:tcBorders>
            <w:shd w:val="clear" w:color="000000" w:fill="FFFFFF"/>
            <w:noWrap/>
            <w:hideMark/>
          </w:tcPr>
          <w:p w14:paraId="22DDFB9D"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Inverness College</w:t>
            </w:r>
          </w:p>
        </w:tc>
        <w:tc>
          <w:tcPr>
            <w:tcW w:w="1440" w:type="dxa"/>
            <w:tcBorders>
              <w:top w:val="single" w:sz="12" w:space="0" w:color="auto"/>
              <w:left w:val="single" w:sz="12" w:space="0" w:color="auto"/>
              <w:bottom w:val="single" w:sz="4" w:space="0" w:color="auto"/>
              <w:right w:val="single" w:sz="12" w:space="0" w:color="auto"/>
            </w:tcBorders>
            <w:shd w:val="clear" w:color="000000" w:fill="FFFFFF"/>
            <w:noWrap/>
            <w:hideMark/>
          </w:tcPr>
          <w:p w14:paraId="390A8037"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H&amp;I Region</w:t>
            </w:r>
          </w:p>
          <w:p w14:paraId="62E59113"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p>
        </w:tc>
        <w:tc>
          <w:tcPr>
            <w:tcW w:w="1529" w:type="dxa"/>
            <w:tcBorders>
              <w:top w:val="single" w:sz="12" w:space="0" w:color="auto"/>
              <w:left w:val="single" w:sz="12" w:space="0" w:color="auto"/>
              <w:bottom w:val="single" w:sz="4" w:space="0" w:color="auto"/>
              <w:right w:val="single" w:sz="12" w:space="0" w:color="auto"/>
            </w:tcBorders>
            <w:shd w:val="clear" w:color="000000" w:fill="FFFFFF"/>
            <w:noWrap/>
            <w:hideMark/>
          </w:tcPr>
          <w:p w14:paraId="1BFB709A"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Scotland</w:t>
            </w:r>
          </w:p>
        </w:tc>
      </w:tr>
      <w:tr w:rsidR="00D528C6" w:rsidRPr="00F170E4" w14:paraId="5E8B6B00" w14:textId="77777777" w:rsidTr="00ED030F">
        <w:trPr>
          <w:trHeight w:val="300"/>
        </w:trPr>
        <w:tc>
          <w:tcPr>
            <w:tcW w:w="2216" w:type="dxa"/>
            <w:vMerge/>
            <w:tcBorders>
              <w:left w:val="single" w:sz="4" w:space="0" w:color="auto"/>
              <w:bottom w:val="single" w:sz="4" w:space="0" w:color="auto"/>
              <w:right w:val="single" w:sz="4" w:space="0" w:color="auto"/>
            </w:tcBorders>
            <w:shd w:val="clear" w:color="000000" w:fill="F5F5F5"/>
            <w:noWrap/>
            <w:vAlign w:val="center"/>
            <w:hideMark/>
          </w:tcPr>
          <w:p w14:paraId="74871073" w14:textId="77777777" w:rsidR="00D528C6" w:rsidRPr="00F170E4" w:rsidRDefault="00D528C6" w:rsidP="00D528C6">
            <w:pPr>
              <w:spacing w:after="0" w:line="240" w:lineRule="auto"/>
              <w:rPr>
                <w:rFonts w:eastAsia="Times New Roman" w:cstheme="minorHAnsi"/>
                <w:b/>
                <w:bCs/>
                <w:color w:val="363636"/>
                <w:sz w:val="20"/>
                <w:szCs w:val="20"/>
                <w:lang w:eastAsia="en-GB"/>
              </w:rPr>
            </w:pPr>
          </w:p>
        </w:tc>
        <w:tc>
          <w:tcPr>
            <w:tcW w:w="1440"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7C8F07EE" w14:textId="77777777" w:rsidR="00D528C6" w:rsidRPr="00F170E4" w:rsidRDefault="00D528C6" w:rsidP="00D528C6">
            <w:pPr>
              <w:spacing w:after="0" w:line="240" w:lineRule="auto"/>
              <w:jc w:val="center"/>
              <w:rPr>
                <w:rFonts w:eastAsia="Times New Roman" w:cstheme="minorHAnsi"/>
                <w:b/>
                <w:bCs/>
                <w:color w:val="000000" w:themeColor="text1"/>
                <w:sz w:val="20"/>
                <w:szCs w:val="20"/>
                <w:lang w:eastAsia="en-GB"/>
              </w:rPr>
            </w:pPr>
            <w:r w:rsidRPr="00F170E4">
              <w:rPr>
                <w:rFonts w:eastAsia="Times New Roman" w:cstheme="minorHAnsi"/>
                <w:b/>
                <w:bCs/>
                <w:color w:val="000000" w:themeColor="text1"/>
                <w:sz w:val="20"/>
                <w:szCs w:val="20"/>
                <w:lang w:eastAsia="en-GB"/>
              </w:rPr>
              <w:t>2016-17</w:t>
            </w:r>
          </w:p>
        </w:tc>
        <w:tc>
          <w:tcPr>
            <w:tcW w:w="1440" w:type="dxa"/>
            <w:tcBorders>
              <w:top w:val="single" w:sz="4" w:space="0" w:color="auto"/>
              <w:left w:val="nil"/>
              <w:bottom w:val="single" w:sz="12" w:space="0" w:color="auto"/>
              <w:right w:val="single" w:sz="4" w:space="0" w:color="auto"/>
            </w:tcBorders>
            <w:shd w:val="clear" w:color="000000" w:fill="FFFFFF"/>
            <w:noWrap/>
            <w:vAlign w:val="center"/>
            <w:hideMark/>
          </w:tcPr>
          <w:p w14:paraId="163034EB" w14:textId="77777777" w:rsidR="00D528C6" w:rsidRPr="00F170E4" w:rsidRDefault="00D528C6" w:rsidP="00D528C6">
            <w:pPr>
              <w:spacing w:after="0" w:line="240" w:lineRule="auto"/>
              <w:jc w:val="center"/>
              <w:rPr>
                <w:rFonts w:eastAsia="Times New Roman" w:cstheme="minorHAnsi"/>
                <w:b/>
                <w:bCs/>
                <w:color w:val="000000" w:themeColor="text1"/>
                <w:sz w:val="20"/>
                <w:szCs w:val="20"/>
                <w:lang w:eastAsia="en-GB"/>
              </w:rPr>
            </w:pPr>
            <w:r w:rsidRPr="00F170E4">
              <w:rPr>
                <w:rFonts w:eastAsia="Times New Roman" w:cstheme="minorHAnsi"/>
                <w:b/>
                <w:bCs/>
                <w:color w:val="000000" w:themeColor="text1"/>
                <w:sz w:val="20"/>
                <w:szCs w:val="20"/>
                <w:lang w:eastAsia="en-GB"/>
              </w:rPr>
              <w:t>2017-18</w:t>
            </w:r>
          </w:p>
        </w:tc>
        <w:tc>
          <w:tcPr>
            <w:tcW w:w="1440" w:type="dxa"/>
            <w:tcBorders>
              <w:top w:val="single" w:sz="4" w:space="0" w:color="auto"/>
              <w:left w:val="nil"/>
              <w:bottom w:val="single" w:sz="12" w:space="0" w:color="auto"/>
              <w:right w:val="single" w:sz="12" w:space="0" w:color="auto"/>
            </w:tcBorders>
            <w:shd w:val="clear" w:color="auto" w:fill="FFF2CC" w:themeFill="accent4" w:themeFillTint="33"/>
            <w:noWrap/>
            <w:vAlign w:val="center"/>
            <w:hideMark/>
          </w:tcPr>
          <w:p w14:paraId="526ACDCC" w14:textId="77777777" w:rsidR="00D528C6" w:rsidRPr="00F170E4" w:rsidRDefault="00D528C6" w:rsidP="00D528C6">
            <w:pPr>
              <w:spacing w:after="0" w:line="240" w:lineRule="auto"/>
              <w:jc w:val="center"/>
              <w:rPr>
                <w:rFonts w:eastAsia="Times New Roman" w:cstheme="minorHAnsi"/>
                <w:b/>
                <w:bCs/>
                <w:color w:val="000000" w:themeColor="text1"/>
                <w:sz w:val="20"/>
                <w:szCs w:val="20"/>
                <w:lang w:eastAsia="en-GB"/>
              </w:rPr>
            </w:pPr>
            <w:r w:rsidRPr="00F170E4">
              <w:rPr>
                <w:rFonts w:eastAsia="Times New Roman" w:cstheme="minorHAnsi"/>
                <w:b/>
                <w:bCs/>
                <w:color w:val="000000" w:themeColor="text1"/>
                <w:sz w:val="20"/>
                <w:szCs w:val="20"/>
                <w:lang w:eastAsia="en-GB"/>
              </w:rPr>
              <w:t>2018-19</w:t>
            </w:r>
          </w:p>
        </w:tc>
        <w:tc>
          <w:tcPr>
            <w:tcW w:w="1440"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6665EE50" w14:textId="77777777" w:rsidR="00D528C6" w:rsidRPr="00F170E4" w:rsidRDefault="00D528C6" w:rsidP="00D528C6">
            <w:pPr>
              <w:spacing w:after="0" w:line="240" w:lineRule="auto"/>
              <w:jc w:val="center"/>
              <w:rPr>
                <w:rFonts w:eastAsia="Times New Roman" w:cstheme="minorHAnsi"/>
                <w:b/>
                <w:bCs/>
                <w:color w:val="000000" w:themeColor="text1"/>
                <w:sz w:val="20"/>
                <w:szCs w:val="20"/>
                <w:lang w:eastAsia="en-GB"/>
              </w:rPr>
            </w:pPr>
            <w:r w:rsidRPr="00F170E4">
              <w:rPr>
                <w:rFonts w:eastAsia="Times New Roman" w:cstheme="minorHAnsi"/>
                <w:b/>
                <w:bCs/>
                <w:color w:val="000000" w:themeColor="text1"/>
                <w:sz w:val="20"/>
                <w:szCs w:val="20"/>
                <w:lang w:eastAsia="en-GB"/>
              </w:rPr>
              <w:t>2018-19</w:t>
            </w:r>
          </w:p>
        </w:tc>
        <w:tc>
          <w:tcPr>
            <w:tcW w:w="1529"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6F745FC8" w14:textId="77777777" w:rsidR="00D528C6" w:rsidRPr="00F170E4" w:rsidRDefault="00D528C6" w:rsidP="00D528C6">
            <w:pPr>
              <w:spacing w:after="0" w:line="240" w:lineRule="auto"/>
              <w:jc w:val="center"/>
              <w:rPr>
                <w:rFonts w:eastAsia="Times New Roman" w:cstheme="minorHAnsi"/>
                <w:b/>
                <w:bCs/>
                <w:color w:val="000000" w:themeColor="text1"/>
                <w:sz w:val="20"/>
                <w:szCs w:val="20"/>
                <w:lang w:eastAsia="en-GB"/>
              </w:rPr>
            </w:pPr>
            <w:r w:rsidRPr="00F170E4">
              <w:rPr>
                <w:rFonts w:eastAsia="Times New Roman" w:cstheme="minorHAnsi"/>
                <w:b/>
                <w:bCs/>
                <w:color w:val="000000" w:themeColor="text1"/>
                <w:sz w:val="20"/>
                <w:szCs w:val="20"/>
                <w:lang w:eastAsia="en-GB"/>
              </w:rPr>
              <w:t>2017-18</w:t>
            </w:r>
          </w:p>
        </w:tc>
      </w:tr>
      <w:tr w:rsidR="00D528C6" w:rsidRPr="00F170E4" w14:paraId="4DFCBF10"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4B5D8"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Full-time FE</w:t>
            </w:r>
          </w:p>
        </w:tc>
        <w:tc>
          <w:tcPr>
            <w:tcW w:w="144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510E6F3"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67.6%</w:t>
            </w:r>
          </w:p>
        </w:tc>
        <w:tc>
          <w:tcPr>
            <w:tcW w:w="1440" w:type="dxa"/>
            <w:tcBorders>
              <w:top w:val="single" w:sz="12" w:space="0" w:color="auto"/>
              <w:left w:val="nil"/>
              <w:bottom w:val="single" w:sz="4" w:space="0" w:color="auto"/>
              <w:right w:val="single" w:sz="4" w:space="0" w:color="auto"/>
            </w:tcBorders>
            <w:shd w:val="clear" w:color="auto" w:fill="auto"/>
            <w:noWrap/>
            <w:vAlign w:val="center"/>
            <w:hideMark/>
          </w:tcPr>
          <w:p w14:paraId="0478DD0F"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70.6%</w:t>
            </w:r>
          </w:p>
        </w:tc>
        <w:tc>
          <w:tcPr>
            <w:tcW w:w="1440" w:type="dxa"/>
            <w:tcBorders>
              <w:top w:val="single" w:sz="12" w:space="0" w:color="auto"/>
              <w:left w:val="nil"/>
              <w:bottom w:val="single" w:sz="4" w:space="0" w:color="auto"/>
              <w:right w:val="single" w:sz="12" w:space="0" w:color="auto"/>
            </w:tcBorders>
            <w:shd w:val="clear" w:color="auto" w:fill="FFF2CC" w:themeFill="accent4" w:themeFillTint="33"/>
            <w:noWrap/>
            <w:vAlign w:val="center"/>
            <w:hideMark/>
          </w:tcPr>
          <w:p w14:paraId="2BC547B1"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70.2%</w:t>
            </w:r>
          </w:p>
        </w:tc>
        <w:tc>
          <w:tcPr>
            <w:tcW w:w="14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A5C1077"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68.6%</w:t>
            </w:r>
          </w:p>
        </w:tc>
        <w:tc>
          <w:tcPr>
            <w:tcW w:w="152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8F083CA"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66.1%</w:t>
            </w:r>
          </w:p>
        </w:tc>
      </w:tr>
      <w:tr w:rsidR="00D528C6" w:rsidRPr="00F170E4" w14:paraId="19414361"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AAB1E"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Part-time FE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83BB"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81.3%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CA14AB7"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86.8%</w:t>
            </w:r>
          </w:p>
        </w:tc>
        <w:tc>
          <w:tcPr>
            <w:tcW w:w="1440" w:type="dxa"/>
            <w:tcBorders>
              <w:top w:val="single" w:sz="4" w:space="0" w:color="auto"/>
              <w:left w:val="nil"/>
              <w:bottom w:val="single" w:sz="4" w:space="0" w:color="auto"/>
              <w:right w:val="single" w:sz="12" w:space="0" w:color="auto"/>
            </w:tcBorders>
            <w:shd w:val="clear" w:color="auto" w:fill="FFF2CC" w:themeFill="accent4" w:themeFillTint="33"/>
            <w:noWrap/>
            <w:vAlign w:val="center"/>
            <w:hideMark/>
          </w:tcPr>
          <w:p w14:paraId="42BC27A5"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83.3%</w:t>
            </w:r>
          </w:p>
        </w:tc>
        <w:tc>
          <w:tcPr>
            <w:tcW w:w="144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749C4A0"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82.5%</w:t>
            </w:r>
          </w:p>
        </w:tc>
        <w:tc>
          <w:tcPr>
            <w:tcW w:w="152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409063D"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78.2%</w:t>
            </w:r>
          </w:p>
        </w:tc>
      </w:tr>
      <w:tr w:rsidR="00D528C6" w:rsidRPr="00F170E4" w14:paraId="62A9AB78"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2A565"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SIMD10 FT FE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06A3"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56.5%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61B40E7"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60.0%</w:t>
            </w:r>
          </w:p>
        </w:tc>
        <w:tc>
          <w:tcPr>
            <w:tcW w:w="1440" w:type="dxa"/>
            <w:tcBorders>
              <w:top w:val="single" w:sz="4" w:space="0" w:color="auto"/>
              <w:left w:val="nil"/>
              <w:bottom w:val="single" w:sz="4" w:space="0" w:color="auto"/>
              <w:right w:val="single" w:sz="12" w:space="0" w:color="auto"/>
            </w:tcBorders>
            <w:shd w:val="clear" w:color="auto" w:fill="FFF2CC" w:themeFill="accent4" w:themeFillTint="33"/>
            <w:noWrap/>
            <w:vAlign w:val="center"/>
            <w:hideMark/>
          </w:tcPr>
          <w:p w14:paraId="0E95C5C6"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64.8%</w:t>
            </w:r>
          </w:p>
        </w:tc>
        <w:tc>
          <w:tcPr>
            <w:tcW w:w="144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2D0F281"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68.7%</w:t>
            </w:r>
          </w:p>
        </w:tc>
        <w:tc>
          <w:tcPr>
            <w:tcW w:w="152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4F413D5"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63.2%</w:t>
            </w:r>
          </w:p>
        </w:tc>
      </w:tr>
      <w:tr w:rsidR="00D528C6" w:rsidRPr="00F170E4" w14:paraId="7363D4C4"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3F350"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SIMD10 PTFE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F9EF"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65.6%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3636AB"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76.1%</w:t>
            </w:r>
          </w:p>
        </w:tc>
        <w:tc>
          <w:tcPr>
            <w:tcW w:w="1440" w:type="dxa"/>
            <w:tcBorders>
              <w:top w:val="single" w:sz="4" w:space="0" w:color="auto"/>
              <w:left w:val="nil"/>
              <w:bottom w:val="single" w:sz="4" w:space="0" w:color="auto"/>
              <w:right w:val="single" w:sz="12" w:space="0" w:color="auto"/>
            </w:tcBorders>
            <w:shd w:val="clear" w:color="auto" w:fill="FFF2CC" w:themeFill="accent4" w:themeFillTint="33"/>
            <w:noWrap/>
            <w:vAlign w:val="center"/>
            <w:hideMark/>
          </w:tcPr>
          <w:p w14:paraId="11DC06BB"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72.1%</w:t>
            </w:r>
          </w:p>
        </w:tc>
        <w:tc>
          <w:tcPr>
            <w:tcW w:w="144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0FAE7C9"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65.8%</w:t>
            </w:r>
          </w:p>
        </w:tc>
        <w:tc>
          <w:tcPr>
            <w:tcW w:w="152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49AD82B"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74.5%</w:t>
            </w:r>
          </w:p>
        </w:tc>
      </w:tr>
      <w:tr w:rsidR="00D528C6" w:rsidRPr="00F170E4" w14:paraId="36DEA8B0"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59D0"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Senior Phase PT FE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06F15"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65.3%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0824F66"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67.9%</w:t>
            </w:r>
          </w:p>
        </w:tc>
        <w:tc>
          <w:tcPr>
            <w:tcW w:w="1440" w:type="dxa"/>
            <w:tcBorders>
              <w:top w:val="single" w:sz="4" w:space="0" w:color="auto"/>
              <w:left w:val="nil"/>
              <w:bottom w:val="single" w:sz="4" w:space="0" w:color="auto"/>
              <w:right w:val="single" w:sz="12" w:space="0" w:color="auto"/>
            </w:tcBorders>
            <w:shd w:val="clear" w:color="auto" w:fill="FFF2CC" w:themeFill="accent4" w:themeFillTint="33"/>
            <w:noWrap/>
            <w:vAlign w:val="center"/>
            <w:hideMark/>
          </w:tcPr>
          <w:p w14:paraId="222CBC92"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68.7%</w:t>
            </w:r>
          </w:p>
        </w:tc>
        <w:tc>
          <w:tcPr>
            <w:tcW w:w="144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94AEF94"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72.0%</w:t>
            </w:r>
          </w:p>
        </w:tc>
        <w:tc>
          <w:tcPr>
            <w:tcW w:w="152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AD5CB22"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67.6%</w:t>
            </w:r>
          </w:p>
        </w:tc>
      </w:tr>
      <w:tr w:rsidR="00D528C6" w:rsidRPr="00F170E4" w14:paraId="3F654AA7"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A351E" w14:textId="77777777" w:rsidR="00D528C6" w:rsidRPr="00D528C6" w:rsidRDefault="00D528C6" w:rsidP="00D528C6">
            <w:pPr>
              <w:spacing w:after="0" w:line="240" w:lineRule="auto"/>
              <w:rPr>
                <w:rFonts w:eastAsia="Times New Roman" w:cstheme="minorHAnsi"/>
                <w:b/>
                <w:bCs/>
                <w:color w:val="363636"/>
                <w:sz w:val="20"/>
                <w:szCs w:val="20"/>
                <w:lang w:eastAsia="en-GB"/>
              </w:rPr>
            </w:pPr>
            <w:r w:rsidRPr="00D528C6">
              <w:rPr>
                <w:rFonts w:eastAsia="Times New Roman" w:cstheme="minorHAnsi"/>
                <w:b/>
                <w:bCs/>
                <w:color w:val="363636"/>
                <w:sz w:val="20"/>
                <w:szCs w:val="20"/>
                <w:lang w:eastAsia="en-GB"/>
              </w:rPr>
              <w:t>Care Experienced FTFE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76D3"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45.8%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CDF3599"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42.9%</w:t>
            </w:r>
          </w:p>
        </w:tc>
        <w:tc>
          <w:tcPr>
            <w:tcW w:w="1440" w:type="dxa"/>
            <w:tcBorders>
              <w:top w:val="single" w:sz="4" w:space="0" w:color="auto"/>
              <w:left w:val="nil"/>
              <w:bottom w:val="single" w:sz="4" w:space="0" w:color="auto"/>
              <w:right w:val="single" w:sz="12" w:space="0" w:color="auto"/>
            </w:tcBorders>
            <w:shd w:val="clear" w:color="auto" w:fill="FFF2CC" w:themeFill="accent4" w:themeFillTint="33"/>
            <w:noWrap/>
            <w:vAlign w:val="center"/>
            <w:hideMark/>
          </w:tcPr>
          <w:p w14:paraId="2A180A39"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61.2%</w:t>
            </w:r>
          </w:p>
        </w:tc>
        <w:tc>
          <w:tcPr>
            <w:tcW w:w="144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74CE5CD"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56.5%</w:t>
            </w:r>
          </w:p>
        </w:tc>
        <w:tc>
          <w:tcPr>
            <w:tcW w:w="1529"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18D30C"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51.0%</w:t>
            </w:r>
          </w:p>
        </w:tc>
      </w:tr>
      <w:tr w:rsidR="00D528C6" w:rsidRPr="00F170E4" w14:paraId="1C7D4835" w14:textId="77777777" w:rsidTr="00D528C6">
        <w:trPr>
          <w:trHeight w:val="300"/>
        </w:trPr>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B399" w14:textId="77777777" w:rsidR="00D528C6" w:rsidRPr="00D528C6" w:rsidRDefault="00D528C6" w:rsidP="00D528C6">
            <w:pPr>
              <w:spacing w:after="0" w:line="240" w:lineRule="auto"/>
              <w:rPr>
                <w:rFonts w:eastAsia="Times New Roman" w:cstheme="minorHAnsi"/>
                <w:b/>
                <w:bCs/>
                <w:color w:val="363636"/>
                <w:sz w:val="20"/>
                <w:szCs w:val="20"/>
                <w:lang w:eastAsia="en-GB"/>
              </w:rPr>
            </w:pPr>
            <w:proofErr w:type="gramStart"/>
            <w:r w:rsidRPr="00D528C6">
              <w:rPr>
                <w:rFonts w:eastAsia="Times New Roman" w:cstheme="minorHAnsi"/>
                <w:b/>
                <w:bCs/>
                <w:color w:val="363636"/>
                <w:sz w:val="20"/>
                <w:szCs w:val="20"/>
                <w:lang w:eastAsia="en-GB"/>
              </w:rPr>
              <w:t>16-19 year-olds</w:t>
            </w:r>
            <w:proofErr w:type="gramEnd"/>
            <w:r w:rsidRPr="00D528C6">
              <w:rPr>
                <w:rFonts w:eastAsia="Times New Roman" w:cstheme="minorHAnsi"/>
                <w:b/>
                <w:bCs/>
                <w:color w:val="363636"/>
                <w:sz w:val="20"/>
                <w:szCs w:val="20"/>
                <w:lang w:eastAsia="en-GB"/>
              </w:rPr>
              <w:t xml:space="preserve"> FTFE</w:t>
            </w:r>
          </w:p>
        </w:tc>
        <w:tc>
          <w:tcPr>
            <w:tcW w:w="144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90FC0A2"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66.0%</w:t>
            </w:r>
          </w:p>
        </w:tc>
        <w:tc>
          <w:tcPr>
            <w:tcW w:w="1440" w:type="dxa"/>
            <w:tcBorders>
              <w:top w:val="single" w:sz="4" w:space="0" w:color="auto"/>
              <w:left w:val="nil"/>
              <w:bottom w:val="single" w:sz="12" w:space="0" w:color="auto"/>
              <w:right w:val="single" w:sz="4" w:space="0" w:color="auto"/>
            </w:tcBorders>
            <w:shd w:val="clear" w:color="auto" w:fill="auto"/>
            <w:noWrap/>
            <w:vAlign w:val="center"/>
            <w:hideMark/>
          </w:tcPr>
          <w:p w14:paraId="4C5DEEB4"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68.2%</w:t>
            </w:r>
          </w:p>
        </w:tc>
        <w:tc>
          <w:tcPr>
            <w:tcW w:w="1440" w:type="dxa"/>
            <w:tcBorders>
              <w:top w:val="single" w:sz="4" w:space="0" w:color="auto"/>
              <w:left w:val="nil"/>
              <w:bottom w:val="single" w:sz="12" w:space="0" w:color="auto"/>
              <w:right w:val="single" w:sz="12" w:space="0" w:color="auto"/>
            </w:tcBorders>
            <w:shd w:val="clear" w:color="auto" w:fill="FFF2CC" w:themeFill="accent4" w:themeFillTint="33"/>
            <w:noWrap/>
            <w:vAlign w:val="center"/>
            <w:hideMark/>
          </w:tcPr>
          <w:p w14:paraId="4A9B3FCA" w14:textId="77777777" w:rsidR="00D528C6" w:rsidRPr="00F170E4" w:rsidRDefault="00D528C6" w:rsidP="00D528C6">
            <w:pPr>
              <w:spacing w:after="0" w:line="240" w:lineRule="auto"/>
              <w:jc w:val="center"/>
              <w:rPr>
                <w:rFonts w:eastAsia="Times New Roman" w:cstheme="minorHAnsi"/>
                <w:b/>
                <w:bCs/>
                <w:color w:val="363636"/>
                <w:sz w:val="20"/>
                <w:szCs w:val="20"/>
                <w:lang w:eastAsia="en-GB"/>
              </w:rPr>
            </w:pPr>
            <w:r w:rsidRPr="00F170E4">
              <w:rPr>
                <w:rFonts w:eastAsia="Times New Roman" w:cstheme="minorHAnsi"/>
                <w:b/>
                <w:bCs/>
                <w:color w:val="363636"/>
                <w:sz w:val="20"/>
                <w:szCs w:val="20"/>
                <w:lang w:eastAsia="en-GB"/>
              </w:rPr>
              <w:t>64.2%</w:t>
            </w:r>
          </w:p>
        </w:tc>
        <w:tc>
          <w:tcPr>
            <w:tcW w:w="144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0EAFE67"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65.8%</w:t>
            </w:r>
          </w:p>
        </w:tc>
        <w:tc>
          <w:tcPr>
            <w:tcW w:w="152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122E7CFA" w14:textId="77777777" w:rsidR="00D528C6" w:rsidRPr="00B447A6" w:rsidRDefault="00D528C6" w:rsidP="00D528C6">
            <w:pPr>
              <w:spacing w:after="0" w:line="240" w:lineRule="auto"/>
              <w:jc w:val="center"/>
              <w:rPr>
                <w:rFonts w:eastAsia="Times New Roman" w:cstheme="minorHAnsi"/>
                <w:color w:val="363636"/>
                <w:sz w:val="20"/>
                <w:szCs w:val="20"/>
                <w:lang w:eastAsia="en-GB"/>
              </w:rPr>
            </w:pPr>
            <w:r w:rsidRPr="00B447A6">
              <w:rPr>
                <w:rFonts w:eastAsia="Times New Roman" w:cstheme="minorHAnsi"/>
                <w:color w:val="363636"/>
                <w:sz w:val="20"/>
                <w:szCs w:val="20"/>
                <w:lang w:eastAsia="en-GB"/>
              </w:rPr>
              <w:t>63.7%</w:t>
            </w:r>
          </w:p>
        </w:tc>
      </w:tr>
    </w:tbl>
    <w:p w14:paraId="27872ECE" w14:textId="77777777" w:rsidR="000762C2" w:rsidRPr="00F170E4" w:rsidRDefault="000762C2" w:rsidP="000762C2">
      <w:pPr>
        <w:pStyle w:val="ListParagraph"/>
        <w:ind w:left="360"/>
        <w:rPr>
          <w:rFonts w:cstheme="minorHAnsi"/>
          <w:b/>
          <w:bCs/>
          <w:sz w:val="24"/>
          <w:szCs w:val="24"/>
          <w:lang w:val="en-IE"/>
        </w:rPr>
      </w:pPr>
    </w:p>
    <w:p w14:paraId="15E1C4B9" w14:textId="7C4AB510" w:rsidR="000468E4" w:rsidRPr="00F170E4" w:rsidRDefault="000468E4" w:rsidP="000468E4">
      <w:pPr>
        <w:pStyle w:val="ListParagraph"/>
        <w:numPr>
          <w:ilvl w:val="1"/>
          <w:numId w:val="1"/>
        </w:numPr>
        <w:contextualSpacing w:val="0"/>
        <w:rPr>
          <w:rFonts w:cstheme="minorHAnsi"/>
          <w:sz w:val="24"/>
          <w:szCs w:val="24"/>
          <w:lang w:val="en-IE"/>
        </w:rPr>
      </w:pPr>
      <w:r w:rsidRPr="00F170E4">
        <w:rPr>
          <w:rFonts w:cstheme="minorHAnsi"/>
          <w:sz w:val="24"/>
          <w:szCs w:val="24"/>
          <w:lang w:val="en-IE"/>
        </w:rPr>
        <w:t>Summary:</w:t>
      </w:r>
    </w:p>
    <w:p w14:paraId="4B56D8F0" w14:textId="766E98D7" w:rsidR="00A23CCF" w:rsidRPr="00F170E4" w:rsidRDefault="003E376E" w:rsidP="000468E4">
      <w:pPr>
        <w:ind w:left="405"/>
        <w:rPr>
          <w:rFonts w:cstheme="minorHAnsi"/>
          <w:sz w:val="24"/>
          <w:szCs w:val="24"/>
          <w:lang w:val="en-IE"/>
        </w:rPr>
      </w:pPr>
      <w:r w:rsidRPr="00F170E4">
        <w:rPr>
          <w:rFonts w:cstheme="minorHAnsi"/>
          <w:sz w:val="24"/>
          <w:szCs w:val="24"/>
          <w:lang w:val="en-IE"/>
        </w:rPr>
        <w:t xml:space="preserve">The table </w:t>
      </w:r>
      <w:r w:rsidR="007A13C9" w:rsidRPr="00F170E4">
        <w:rPr>
          <w:rFonts w:cstheme="minorHAnsi"/>
          <w:sz w:val="24"/>
          <w:szCs w:val="24"/>
          <w:lang w:val="en-IE"/>
        </w:rPr>
        <w:t>above</w:t>
      </w:r>
      <w:r w:rsidRPr="00F170E4">
        <w:rPr>
          <w:rFonts w:cstheme="minorHAnsi"/>
          <w:sz w:val="24"/>
          <w:szCs w:val="24"/>
          <w:lang w:val="en-IE"/>
        </w:rPr>
        <w:t xml:space="preserve"> provides a summary of the percentage of learners, by mode and learner group, </w:t>
      </w:r>
      <w:r w:rsidR="00221705" w:rsidRPr="00F170E4">
        <w:rPr>
          <w:rFonts w:cstheme="minorHAnsi"/>
          <w:sz w:val="24"/>
          <w:szCs w:val="24"/>
          <w:lang w:val="en-IE"/>
        </w:rPr>
        <w:t>completing</w:t>
      </w:r>
      <w:r w:rsidRPr="00F170E4">
        <w:rPr>
          <w:rFonts w:cstheme="minorHAnsi"/>
          <w:sz w:val="24"/>
          <w:szCs w:val="24"/>
          <w:lang w:val="en-IE"/>
        </w:rPr>
        <w:t xml:space="preserve"> their course</w:t>
      </w:r>
      <w:r w:rsidR="007A13C9" w:rsidRPr="00F170E4">
        <w:rPr>
          <w:rFonts w:cstheme="minorHAnsi"/>
          <w:sz w:val="24"/>
          <w:szCs w:val="24"/>
          <w:lang w:val="en-IE"/>
        </w:rPr>
        <w:t>s</w:t>
      </w:r>
      <w:r w:rsidRPr="00F170E4">
        <w:rPr>
          <w:rFonts w:cstheme="minorHAnsi"/>
          <w:sz w:val="24"/>
          <w:szCs w:val="24"/>
          <w:lang w:val="en-IE"/>
        </w:rPr>
        <w:t xml:space="preserve"> successfully</w:t>
      </w:r>
      <w:r w:rsidR="00221705" w:rsidRPr="00F170E4">
        <w:rPr>
          <w:rFonts w:cstheme="minorHAnsi"/>
          <w:sz w:val="24"/>
          <w:szCs w:val="24"/>
          <w:lang w:val="en-IE"/>
        </w:rPr>
        <w:t xml:space="preserve"> over the last three years</w:t>
      </w:r>
      <w:r w:rsidR="006A6607" w:rsidRPr="00F170E4">
        <w:rPr>
          <w:rFonts w:cstheme="minorHAnsi"/>
          <w:sz w:val="24"/>
          <w:szCs w:val="24"/>
          <w:lang w:val="en-IE"/>
        </w:rPr>
        <w:t>.</w:t>
      </w:r>
      <w:r w:rsidR="00221705" w:rsidRPr="00F170E4">
        <w:rPr>
          <w:rFonts w:cstheme="minorHAnsi"/>
          <w:sz w:val="24"/>
          <w:szCs w:val="24"/>
          <w:lang w:val="en-IE"/>
        </w:rPr>
        <w:t xml:space="preserve"> Success rates for the Highlands and Islands region in 2018-19 and the latest figures for Scotland are also shown.</w:t>
      </w:r>
    </w:p>
    <w:p w14:paraId="4F76119B" w14:textId="0DB4B57D" w:rsidR="000468E4" w:rsidRPr="00F170E4" w:rsidRDefault="006A6607" w:rsidP="006A6607">
      <w:pPr>
        <w:pStyle w:val="ListParagraph"/>
        <w:numPr>
          <w:ilvl w:val="1"/>
          <w:numId w:val="1"/>
        </w:numPr>
        <w:rPr>
          <w:rFonts w:cstheme="minorHAnsi"/>
          <w:sz w:val="24"/>
          <w:szCs w:val="24"/>
          <w:lang w:val="en-IE"/>
        </w:rPr>
      </w:pPr>
      <w:r w:rsidRPr="00F170E4">
        <w:rPr>
          <w:rFonts w:cstheme="minorHAnsi"/>
          <w:sz w:val="24"/>
          <w:szCs w:val="24"/>
          <w:lang w:val="en-IE"/>
        </w:rPr>
        <w:t>Evaluation:</w:t>
      </w:r>
    </w:p>
    <w:p w14:paraId="1D2C332C" w14:textId="33C92B91" w:rsidR="00415234" w:rsidRPr="00F170E4" w:rsidRDefault="00262AF2" w:rsidP="006A6607">
      <w:pPr>
        <w:ind w:left="405"/>
        <w:rPr>
          <w:rFonts w:cstheme="minorHAnsi"/>
          <w:sz w:val="24"/>
          <w:szCs w:val="24"/>
          <w:lang w:val="en-IE"/>
        </w:rPr>
      </w:pPr>
      <w:r w:rsidRPr="00F170E4">
        <w:rPr>
          <w:rFonts w:cstheme="minorHAnsi"/>
          <w:sz w:val="24"/>
          <w:szCs w:val="24"/>
          <w:lang w:val="en-IE"/>
        </w:rPr>
        <w:t xml:space="preserve">The college has worked successfully to improve retention and attainment on FE programmes over the last six </w:t>
      </w:r>
      <w:r w:rsidR="00415234" w:rsidRPr="00F170E4">
        <w:rPr>
          <w:rFonts w:cstheme="minorHAnsi"/>
          <w:sz w:val="24"/>
          <w:szCs w:val="24"/>
          <w:lang w:val="en-IE"/>
        </w:rPr>
        <w:t>years and</w:t>
      </w:r>
      <w:r w:rsidRPr="00F170E4">
        <w:rPr>
          <w:rFonts w:cstheme="minorHAnsi"/>
          <w:sz w:val="24"/>
          <w:szCs w:val="24"/>
          <w:lang w:val="en-IE"/>
        </w:rPr>
        <w:t xml:space="preserve"> contributes well to the regional strategy </w:t>
      </w:r>
      <w:r w:rsidR="00F47EF6" w:rsidRPr="00F170E4">
        <w:rPr>
          <w:rFonts w:cstheme="minorHAnsi"/>
          <w:sz w:val="24"/>
          <w:szCs w:val="24"/>
          <w:lang w:val="en-IE"/>
        </w:rPr>
        <w:t>for the improvement of</w:t>
      </w:r>
      <w:r w:rsidRPr="00F170E4">
        <w:rPr>
          <w:rFonts w:cstheme="minorHAnsi"/>
          <w:sz w:val="24"/>
          <w:szCs w:val="24"/>
          <w:lang w:val="en-IE"/>
        </w:rPr>
        <w:t xml:space="preserve"> FE attainment. </w:t>
      </w:r>
      <w:r w:rsidR="00221705" w:rsidRPr="00F170E4">
        <w:rPr>
          <w:rFonts w:cstheme="minorHAnsi"/>
          <w:sz w:val="24"/>
          <w:szCs w:val="24"/>
          <w:lang w:val="en-IE"/>
        </w:rPr>
        <w:t xml:space="preserve">Success rates for learners on full-time FE programmes remained high in 2018-19, although they </w:t>
      </w:r>
      <w:r w:rsidR="000E6BC3" w:rsidRPr="00F170E4">
        <w:rPr>
          <w:rFonts w:cstheme="minorHAnsi"/>
          <w:sz w:val="24"/>
          <w:szCs w:val="24"/>
          <w:lang w:val="en-IE"/>
        </w:rPr>
        <w:t>were</w:t>
      </w:r>
      <w:r w:rsidR="00221705" w:rsidRPr="00F170E4">
        <w:rPr>
          <w:rFonts w:cstheme="minorHAnsi"/>
          <w:sz w:val="24"/>
          <w:szCs w:val="24"/>
          <w:lang w:val="en-IE"/>
        </w:rPr>
        <w:t xml:space="preserve"> 0.4 points </w:t>
      </w:r>
      <w:r w:rsidR="000E6BC3" w:rsidRPr="00F170E4">
        <w:rPr>
          <w:rFonts w:cstheme="minorHAnsi"/>
          <w:sz w:val="24"/>
          <w:szCs w:val="24"/>
          <w:lang w:val="en-IE"/>
        </w:rPr>
        <w:t>down on</w:t>
      </w:r>
      <w:r w:rsidR="00221705" w:rsidRPr="00F170E4">
        <w:rPr>
          <w:rFonts w:cstheme="minorHAnsi"/>
          <w:sz w:val="24"/>
          <w:szCs w:val="24"/>
          <w:lang w:val="en-IE"/>
        </w:rPr>
        <w:t xml:space="preserve"> 2017-18. Part-time FE success rates are also high, despite falling 3.5 points compared to last year. The college’s performance in both categories is well above the latest sector </w:t>
      </w:r>
      <w:r w:rsidRPr="00F170E4">
        <w:rPr>
          <w:rFonts w:cstheme="minorHAnsi"/>
          <w:sz w:val="24"/>
          <w:szCs w:val="24"/>
          <w:lang w:val="en-IE"/>
        </w:rPr>
        <w:t>levels and</w:t>
      </w:r>
      <w:r w:rsidR="00221705" w:rsidRPr="00F170E4">
        <w:rPr>
          <w:rFonts w:cstheme="minorHAnsi"/>
          <w:sz w:val="24"/>
          <w:szCs w:val="24"/>
          <w:lang w:val="en-IE"/>
        </w:rPr>
        <w:t xml:space="preserve"> was among the top three </w:t>
      </w:r>
      <w:r w:rsidR="000E6BC3" w:rsidRPr="00F170E4">
        <w:rPr>
          <w:rFonts w:cstheme="minorHAnsi"/>
          <w:sz w:val="24"/>
          <w:szCs w:val="24"/>
          <w:lang w:val="en-IE"/>
        </w:rPr>
        <w:t xml:space="preserve">in each category </w:t>
      </w:r>
      <w:r w:rsidR="00221705" w:rsidRPr="00F170E4">
        <w:rPr>
          <w:rFonts w:cstheme="minorHAnsi"/>
          <w:sz w:val="24"/>
          <w:szCs w:val="24"/>
          <w:lang w:val="en-IE"/>
        </w:rPr>
        <w:t xml:space="preserve">in terms of comparator colleges in 2017-18. </w:t>
      </w:r>
      <w:r w:rsidR="00415234" w:rsidRPr="00F170E4">
        <w:rPr>
          <w:rFonts w:cstheme="minorHAnsi"/>
          <w:sz w:val="24"/>
          <w:szCs w:val="24"/>
          <w:lang w:val="en-IE"/>
        </w:rPr>
        <w:t xml:space="preserve">One of the college’s aims is to reduce early withdrawal rates on full-time FE programmes to 5% by November 2019. Good progress was made on this in 2018-19, with early withdrawals reducing to 6.8%, however an increase in further withdrawals balanced this out.  Attainment rates stayed much the same as </w:t>
      </w:r>
      <w:r w:rsidR="00B447A6">
        <w:rPr>
          <w:rFonts w:cstheme="minorHAnsi"/>
          <w:sz w:val="24"/>
          <w:szCs w:val="24"/>
          <w:lang w:val="en-IE"/>
        </w:rPr>
        <w:t xml:space="preserve">in </w:t>
      </w:r>
      <w:r w:rsidR="00415234" w:rsidRPr="00F170E4">
        <w:rPr>
          <w:rFonts w:cstheme="minorHAnsi"/>
          <w:sz w:val="24"/>
          <w:szCs w:val="24"/>
          <w:lang w:val="en-IE"/>
        </w:rPr>
        <w:t xml:space="preserve">2017-18, with only 7.2% of full-time students recorded as achieving partial success. </w:t>
      </w:r>
    </w:p>
    <w:p w14:paraId="6413476E" w14:textId="038DA13D" w:rsidR="00F47EF6" w:rsidRPr="00F170E4" w:rsidRDefault="00262AF2" w:rsidP="000E6BC3">
      <w:pPr>
        <w:ind w:left="405"/>
        <w:rPr>
          <w:rFonts w:cstheme="minorHAnsi"/>
          <w:sz w:val="24"/>
          <w:szCs w:val="24"/>
          <w:lang w:val="en-IE"/>
        </w:rPr>
      </w:pPr>
      <w:r w:rsidRPr="00F170E4">
        <w:rPr>
          <w:rFonts w:cstheme="minorHAnsi"/>
          <w:sz w:val="24"/>
          <w:szCs w:val="24"/>
          <w:lang w:val="en-IE"/>
        </w:rPr>
        <w:t xml:space="preserve">Success rates for learners from SIMD10 postcode areas on full-time programmes have steadily improved and are now above the latest sector levels.  However, the success rates for those on part-time programmes </w:t>
      </w:r>
      <w:r w:rsidR="000E6BC3" w:rsidRPr="00F170E4">
        <w:rPr>
          <w:rFonts w:cstheme="minorHAnsi"/>
          <w:sz w:val="24"/>
          <w:szCs w:val="24"/>
          <w:lang w:val="en-IE"/>
        </w:rPr>
        <w:t>fell</w:t>
      </w:r>
      <w:r w:rsidRPr="00F170E4">
        <w:rPr>
          <w:rFonts w:cstheme="minorHAnsi"/>
          <w:sz w:val="24"/>
          <w:szCs w:val="24"/>
          <w:lang w:val="en-IE"/>
        </w:rPr>
        <w:t xml:space="preserve"> by 4 points to 72.1%. Success rates for senior phase pupils on vocational programmes have also steadily improved and are above the latest sector levels.</w:t>
      </w:r>
      <w:r w:rsidR="00F47EF6" w:rsidRPr="00F170E4">
        <w:rPr>
          <w:rFonts w:cstheme="minorHAnsi"/>
          <w:sz w:val="24"/>
          <w:szCs w:val="24"/>
          <w:lang w:val="en-IE"/>
        </w:rPr>
        <w:t xml:space="preserve"> There was a significant improvement (18.3 points) in success rates for care experienced learners on full-time programmes in 2018-19, and these outcomes are now 10 points above the latest sector levels. Success rates for learners aged between 16 and 19 on full-time programmes dropped by 4 points in 2018-</w:t>
      </w:r>
      <w:r w:rsidR="00F47EF6" w:rsidRPr="00F170E4">
        <w:rPr>
          <w:rFonts w:cstheme="minorHAnsi"/>
          <w:sz w:val="24"/>
          <w:szCs w:val="24"/>
          <w:lang w:val="en-IE"/>
        </w:rPr>
        <w:lastRenderedPageBreak/>
        <w:t>19</w:t>
      </w:r>
      <w:r w:rsidR="00415234" w:rsidRPr="00F170E4">
        <w:rPr>
          <w:rFonts w:cstheme="minorHAnsi"/>
          <w:sz w:val="24"/>
          <w:szCs w:val="24"/>
          <w:lang w:val="en-IE"/>
        </w:rPr>
        <w:t xml:space="preserve">. As this learner group accounts for 56% of the college’s full-time FE enrolments, addressing this decline is a priority for 2019-20. </w:t>
      </w:r>
    </w:p>
    <w:p w14:paraId="6B6F55D5" w14:textId="77777777" w:rsidR="000762C2" w:rsidRPr="00F170E4" w:rsidRDefault="000762C2" w:rsidP="000E6BC3">
      <w:pPr>
        <w:ind w:left="405"/>
        <w:rPr>
          <w:rFonts w:cstheme="minorHAnsi"/>
          <w:sz w:val="24"/>
          <w:szCs w:val="24"/>
          <w:lang w:val="en-IE"/>
        </w:rPr>
      </w:pPr>
    </w:p>
    <w:p w14:paraId="0EAE28C2" w14:textId="3E6AD7BE" w:rsidR="000468E4" w:rsidRPr="00F170E4" w:rsidRDefault="000E6BC3" w:rsidP="000E6BC3">
      <w:pPr>
        <w:pStyle w:val="ListParagraph"/>
        <w:numPr>
          <w:ilvl w:val="0"/>
          <w:numId w:val="1"/>
        </w:numPr>
        <w:contextualSpacing w:val="0"/>
        <w:rPr>
          <w:rFonts w:cstheme="minorHAnsi"/>
          <w:b/>
          <w:bCs/>
          <w:sz w:val="24"/>
          <w:szCs w:val="24"/>
          <w:lang w:val="en-IE"/>
        </w:rPr>
      </w:pPr>
      <w:r w:rsidRPr="00F170E4">
        <w:rPr>
          <w:rFonts w:cstheme="minorHAnsi"/>
          <w:b/>
          <w:bCs/>
          <w:sz w:val="24"/>
          <w:szCs w:val="24"/>
          <w:lang w:val="en-IE"/>
        </w:rPr>
        <w:t>How good is our progression?</w:t>
      </w:r>
    </w:p>
    <w:p w14:paraId="23E36A91" w14:textId="6C239A6B" w:rsidR="000E6BC3" w:rsidRPr="00F170E4" w:rsidRDefault="000E6BC3" w:rsidP="000E6BC3">
      <w:pPr>
        <w:pStyle w:val="ListParagraph"/>
        <w:numPr>
          <w:ilvl w:val="1"/>
          <w:numId w:val="1"/>
        </w:numPr>
        <w:rPr>
          <w:rFonts w:cstheme="minorHAnsi"/>
          <w:sz w:val="24"/>
          <w:szCs w:val="24"/>
          <w:lang w:val="en-IE"/>
        </w:rPr>
      </w:pPr>
      <w:r w:rsidRPr="00F170E4">
        <w:rPr>
          <w:rFonts w:cstheme="minorHAnsi"/>
          <w:sz w:val="24"/>
          <w:szCs w:val="24"/>
          <w:lang w:val="en-IE"/>
        </w:rPr>
        <w:t>Summary:</w:t>
      </w:r>
    </w:p>
    <w:p w14:paraId="237A6B09" w14:textId="30DB672B" w:rsidR="00F915B2" w:rsidRPr="00F170E4" w:rsidRDefault="006D1431" w:rsidP="000E6BC3">
      <w:pPr>
        <w:ind w:left="405"/>
        <w:rPr>
          <w:rFonts w:cstheme="minorHAnsi"/>
          <w:sz w:val="24"/>
          <w:szCs w:val="24"/>
          <w:lang w:val="en-IE"/>
        </w:rPr>
      </w:pPr>
      <w:r w:rsidRPr="00F170E4">
        <w:rPr>
          <w:rFonts w:cstheme="minorHAnsi"/>
          <w:sz w:val="24"/>
          <w:szCs w:val="24"/>
          <w:lang w:val="en-IE"/>
        </w:rPr>
        <w:t xml:space="preserve">The number of </w:t>
      </w:r>
      <w:r w:rsidR="00F915B2" w:rsidRPr="00F170E4">
        <w:rPr>
          <w:rFonts w:cstheme="minorHAnsi"/>
          <w:sz w:val="24"/>
          <w:szCs w:val="24"/>
          <w:lang w:val="en-IE"/>
        </w:rPr>
        <w:t xml:space="preserve">starts for </w:t>
      </w:r>
      <w:r w:rsidRPr="00F170E4">
        <w:rPr>
          <w:rFonts w:cstheme="minorHAnsi"/>
          <w:sz w:val="24"/>
          <w:szCs w:val="24"/>
          <w:lang w:val="en-IE"/>
        </w:rPr>
        <w:t xml:space="preserve">contracted </w:t>
      </w:r>
      <w:r w:rsidR="00F915B2" w:rsidRPr="00F170E4">
        <w:rPr>
          <w:rFonts w:cstheme="minorHAnsi"/>
          <w:sz w:val="24"/>
          <w:szCs w:val="24"/>
          <w:lang w:val="en-IE"/>
        </w:rPr>
        <w:t>apprenticeships</w:t>
      </w:r>
      <w:r w:rsidRPr="00F170E4">
        <w:rPr>
          <w:rFonts w:cstheme="minorHAnsi"/>
          <w:sz w:val="24"/>
          <w:szCs w:val="24"/>
          <w:lang w:val="en-IE"/>
        </w:rPr>
        <w:t xml:space="preserve"> has increased year-on-year for the last three years, from 89 in 2016-17 to 1</w:t>
      </w:r>
      <w:r w:rsidR="000762C2" w:rsidRPr="00F170E4">
        <w:rPr>
          <w:rFonts w:cstheme="minorHAnsi"/>
          <w:sz w:val="24"/>
          <w:szCs w:val="24"/>
          <w:lang w:val="en-IE"/>
        </w:rPr>
        <w:t>38</w:t>
      </w:r>
      <w:r w:rsidRPr="00F170E4">
        <w:rPr>
          <w:rFonts w:cstheme="minorHAnsi"/>
          <w:sz w:val="24"/>
          <w:szCs w:val="24"/>
          <w:lang w:val="en-IE"/>
        </w:rPr>
        <w:t xml:space="preserve"> in 2018-19. </w:t>
      </w:r>
      <w:r w:rsidR="00F915B2" w:rsidRPr="00F170E4">
        <w:rPr>
          <w:rFonts w:cstheme="minorHAnsi"/>
          <w:sz w:val="24"/>
          <w:szCs w:val="24"/>
          <w:lang w:val="en-IE"/>
        </w:rPr>
        <w:t>The proportion of learners on full-time FE programmes who have a substantial ‘work placement experience’ as part of their course is relatively low at 12.6%, according to the statistical return to the SFC.</w:t>
      </w:r>
      <w:r w:rsidR="004845A7" w:rsidRPr="00F170E4">
        <w:rPr>
          <w:rFonts w:cstheme="minorHAnsi"/>
          <w:sz w:val="24"/>
          <w:szCs w:val="24"/>
          <w:lang w:val="en-IE"/>
        </w:rPr>
        <w:t xml:space="preserve"> </w:t>
      </w:r>
      <w:r w:rsidR="00F915B2" w:rsidRPr="00F170E4">
        <w:rPr>
          <w:rFonts w:cstheme="minorHAnsi"/>
          <w:sz w:val="24"/>
          <w:szCs w:val="24"/>
          <w:lang w:val="en-IE"/>
        </w:rPr>
        <w:t xml:space="preserve">The number of full-time college qualifiers that were in work, training and/or further study 3-6 months after qualifying in 2017-18 was 685, or 94.5% of </w:t>
      </w:r>
      <w:r w:rsidR="004845A7" w:rsidRPr="00F170E4">
        <w:rPr>
          <w:rFonts w:cstheme="minorHAnsi"/>
          <w:sz w:val="24"/>
          <w:szCs w:val="24"/>
          <w:lang w:val="en-IE"/>
        </w:rPr>
        <w:t xml:space="preserve">the </w:t>
      </w:r>
      <w:r w:rsidR="00F915B2" w:rsidRPr="00F170E4">
        <w:rPr>
          <w:rFonts w:cstheme="minorHAnsi"/>
          <w:sz w:val="24"/>
          <w:szCs w:val="24"/>
          <w:lang w:val="en-IE"/>
        </w:rPr>
        <w:t>qualifiers whose destination was confirmed.</w:t>
      </w:r>
      <w:r w:rsidR="00F915B2" w:rsidRPr="00F170E4">
        <w:rPr>
          <w:rStyle w:val="FootnoteReference"/>
          <w:rFonts w:cstheme="minorHAnsi"/>
          <w:sz w:val="24"/>
          <w:szCs w:val="24"/>
          <w:lang w:val="en-IE"/>
        </w:rPr>
        <w:footnoteReference w:id="1"/>
      </w:r>
      <w:r w:rsidR="004845A7" w:rsidRPr="00F170E4">
        <w:rPr>
          <w:rFonts w:cstheme="minorHAnsi"/>
          <w:sz w:val="24"/>
          <w:szCs w:val="24"/>
          <w:lang w:val="en-IE"/>
        </w:rPr>
        <w:t xml:space="preserve"> The percentage of FE students who were satisfied with their college experience </w:t>
      </w:r>
      <w:r w:rsidR="000762C2" w:rsidRPr="00F170E4">
        <w:rPr>
          <w:rFonts w:cstheme="minorHAnsi"/>
          <w:sz w:val="24"/>
          <w:szCs w:val="24"/>
          <w:lang w:val="en-IE"/>
        </w:rPr>
        <w:t xml:space="preserve">remained high overall </w:t>
      </w:r>
      <w:r w:rsidR="004845A7" w:rsidRPr="00F170E4">
        <w:rPr>
          <w:rFonts w:cstheme="minorHAnsi"/>
          <w:sz w:val="24"/>
          <w:szCs w:val="24"/>
          <w:lang w:val="en-IE"/>
        </w:rPr>
        <w:t xml:space="preserve">in 2018-19 </w:t>
      </w:r>
      <w:r w:rsidR="000762C2" w:rsidRPr="00F170E4">
        <w:rPr>
          <w:rFonts w:cstheme="minorHAnsi"/>
          <w:sz w:val="24"/>
          <w:szCs w:val="24"/>
          <w:lang w:val="en-IE"/>
        </w:rPr>
        <w:t xml:space="preserve">at </w:t>
      </w:r>
      <w:r w:rsidR="004845A7" w:rsidRPr="00F170E4">
        <w:rPr>
          <w:rFonts w:cstheme="minorHAnsi"/>
          <w:sz w:val="24"/>
          <w:szCs w:val="24"/>
          <w:lang w:val="en-IE"/>
        </w:rPr>
        <w:t xml:space="preserve">93.2%, </w:t>
      </w:r>
      <w:r w:rsidR="000762C2" w:rsidRPr="00F170E4">
        <w:rPr>
          <w:rFonts w:cstheme="minorHAnsi"/>
          <w:sz w:val="24"/>
          <w:szCs w:val="24"/>
          <w:lang w:val="en-IE"/>
        </w:rPr>
        <w:t xml:space="preserve">although </w:t>
      </w:r>
      <w:r w:rsidR="004845A7" w:rsidRPr="00F170E4">
        <w:rPr>
          <w:rFonts w:cstheme="minorHAnsi"/>
          <w:sz w:val="24"/>
          <w:szCs w:val="24"/>
          <w:lang w:val="en-IE"/>
        </w:rPr>
        <w:t>slightly down on 2017-18.</w:t>
      </w:r>
      <w:r w:rsidR="004845A7" w:rsidRPr="00F170E4">
        <w:rPr>
          <w:rStyle w:val="FootnoteReference"/>
          <w:rFonts w:cstheme="minorHAnsi"/>
          <w:sz w:val="24"/>
          <w:szCs w:val="24"/>
          <w:lang w:val="en-IE"/>
        </w:rPr>
        <w:footnoteReference w:id="2"/>
      </w:r>
    </w:p>
    <w:p w14:paraId="042248CA" w14:textId="398C7F95" w:rsidR="004845A7" w:rsidRPr="00F170E4" w:rsidRDefault="004845A7" w:rsidP="004845A7">
      <w:pPr>
        <w:pStyle w:val="ListParagraph"/>
        <w:numPr>
          <w:ilvl w:val="1"/>
          <w:numId w:val="1"/>
        </w:numPr>
        <w:rPr>
          <w:rFonts w:cstheme="minorHAnsi"/>
          <w:sz w:val="24"/>
          <w:szCs w:val="24"/>
          <w:lang w:val="en-IE"/>
        </w:rPr>
      </w:pPr>
      <w:r w:rsidRPr="00F170E4">
        <w:rPr>
          <w:rFonts w:cstheme="minorHAnsi"/>
          <w:sz w:val="24"/>
          <w:szCs w:val="24"/>
          <w:lang w:val="en-IE"/>
        </w:rPr>
        <w:t>Evaluation:</w:t>
      </w:r>
    </w:p>
    <w:p w14:paraId="0B812215" w14:textId="1FD639AB" w:rsidR="00197119" w:rsidRPr="00F170E4" w:rsidRDefault="007A13C9" w:rsidP="000E131C">
      <w:pPr>
        <w:ind w:left="405"/>
        <w:rPr>
          <w:rFonts w:cstheme="minorHAnsi"/>
          <w:sz w:val="24"/>
          <w:szCs w:val="24"/>
          <w:lang w:val="en-IE"/>
        </w:rPr>
      </w:pPr>
      <w:r w:rsidRPr="00F170E4">
        <w:rPr>
          <w:rFonts w:cstheme="minorHAnsi"/>
          <w:sz w:val="24"/>
          <w:szCs w:val="24"/>
          <w:lang w:val="en-IE"/>
        </w:rPr>
        <w:t xml:space="preserve">The college’s curriculum provides a range of accessible and relevant progression pathways that make the most of the unique tertiary context of the UHI partnership. </w:t>
      </w:r>
      <w:r w:rsidR="000B285B" w:rsidRPr="00F170E4">
        <w:rPr>
          <w:rFonts w:cstheme="minorHAnsi"/>
          <w:sz w:val="24"/>
          <w:szCs w:val="24"/>
          <w:lang w:val="en-IE"/>
        </w:rPr>
        <w:t xml:space="preserve">Growth in Modern and Foundation Apprentice numbers, together with the development of Graduate Apprentice programmes, ensures that there are excellent opportunities for work-based learning at every level. The college recognises that the percentage of full-time FE learners recorded as having work placement experience does not accurately represent the level of activity.  Work has been started across the region with the aim of ensuring that all full-time learners have </w:t>
      </w:r>
      <w:proofErr w:type="gramStart"/>
      <w:r w:rsidR="000B285B" w:rsidRPr="00F170E4">
        <w:rPr>
          <w:rFonts w:cstheme="minorHAnsi"/>
          <w:sz w:val="24"/>
          <w:szCs w:val="24"/>
          <w:lang w:val="en-IE"/>
        </w:rPr>
        <w:t>sufficient</w:t>
      </w:r>
      <w:proofErr w:type="gramEnd"/>
      <w:r w:rsidR="000B285B" w:rsidRPr="00F170E4">
        <w:rPr>
          <w:rFonts w:cstheme="minorHAnsi"/>
          <w:sz w:val="24"/>
          <w:szCs w:val="24"/>
          <w:lang w:val="en-IE"/>
        </w:rPr>
        <w:t xml:space="preserve"> work placement experience and that this is captured accurately in the student records system.</w:t>
      </w:r>
      <w:r w:rsidR="00061DFA" w:rsidRPr="00F170E4">
        <w:rPr>
          <w:rFonts w:cstheme="minorHAnsi"/>
          <w:sz w:val="24"/>
          <w:szCs w:val="24"/>
          <w:lang w:val="en-IE"/>
        </w:rPr>
        <w:t xml:space="preserve"> The high success rates for learners on FE programmes, the high percentage in positive destinations and the high level of learner satisfaction are evidence of the strength of the curriculum and of learner progression. </w:t>
      </w:r>
    </w:p>
    <w:sectPr w:rsidR="00197119" w:rsidRPr="00F170E4" w:rsidSect="00ED030F">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BC34" w14:textId="77777777" w:rsidR="00AF3151" w:rsidRDefault="00AF3151" w:rsidP="00F915B2">
      <w:pPr>
        <w:spacing w:after="0" w:line="240" w:lineRule="auto"/>
      </w:pPr>
      <w:r>
        <w:separator/>
      </w:r>
    </w:p>
  </w:endnote>
  <w:endnote w:type="continuationSeparator" w:id="0">
    <w:p w14:paraId="6B107CAF" w14:textId="77777777" w:rsidR="00AF3151" w:rsidRDefault="00AF3151" w:rsidP="00F9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091886"/>
      <w:docPartObj>
        <w:docPartGallery w:val="Page Numbers (Bottom of Page)"/>
        <w:docPartUnique/>
      </w:docPartObj>
    </w:sdtPr>
    <w:sdtEndPr>
      <w:rPr>
        <w:noProof/>
      </w:rPr>
    </w:sdtEndPr>
    <w:sdtContent>
      <w:p w14:paraId="3A75D961" w14:textId="50520CE4" w:rsidR="00061DFA" w:rsidRDefault="00061D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7EC76" w14:textId="77777777" w:rsidR="00061DFA" w:rsidRDefault="0006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EB2E" w14:textId="77777777" w:rsidR="00AF3151" w:rsidRDefault="00AF3151" w:rsidP="00F915B2">
      <w:pPr>
        <w:spacing w:after="0" w:line="240" w:lineRule="auto"/>
      </w:pPr>
      <w:r>
        <w:separator/>
      </w:r>
    </w:p>
  </w:footnote>
  <w:footnote w:type="continuationSeparator" w:id="0">
    <w:p w14:paraId="5B646302" w14:textId="77777777" w:rsidR="00AF3151" w:rsidRDefault="00AF3151" w:rsidP="00F915B2">
      <w:pPr>
        <w:spacing w:after="0" w:line="240" w:lineRule="auto"/>
      </w:pPr>
      <w:r>
        <w:continuationSeparator/>
      </w:r>
    </w:p>
  </w:footnote>
  <w:footnote w:id="1">
    <w:p w14:paraId="0C35C0E4" w14:textId="7EA34A3C" w:rsidR="00F915B2" w:rsidRPr="00F915B2" w:rsidRDefault="00F915B2">
      <w:pPr>
        <w:pStyle w:val="FootnoteText"/>
        <w:rPr>
          <w:lang w:val="en-IE"/>
        </w:rPr>
      </w:pPr>
      <w:r>
        <w:rPr>
          <w:rStyle w:val="FootnoteReference"/>
        </w:rPr>
        <w:footnoteRef/>
      </w:r>
      <w:r>
        <w:t xml:space="preserve"> SFC (2019), </w:t>
      </w:r>
      <w:r w:rsidRPr="00F915B2">
        <w:rPr>
          <w:i/>
          <w:iCs/>
          <w:lang w:val="en-IE"/>
        </w:rPr>
        <w:t>College Leaver Destinations 2017-18</w:t>
      </w:r>
      <w:r>
        <w:rPr>
          <w:i/>
          <w:iCs/>
          <w:lang w:val="en-IE"/>
        </w:rPr>
        <w:t xml:space="preserve">, </w:t>
      </w:r>
      <w:r>
        <w:rPr>
          <w:lang w:val="en-IE"/>
        </w:rPr>
        <w:t>p.24.</w:t>
      </w:r>
    </w:p>
  </w:footnote>
  <w:footnote w:id="2">
    <w:p w14:paraId="53B9A860" w14:textId="71134C28" w:rsidR="004845A7" w:rsidRPr="004845A7" w:rsidRDefault="004845A7">
      <w:pPr>
        <w:pStyle w:val="FootnoteText"/>
        <w:rPr>
          <w:lang w:val="en-IE"/>
        </w:rPr>
      </w:pPr>
      <w:r>
        <w:rPr>
          <w:rStyle w:val="FootnoteReference"/>
        </w:rPr>
        <w:footnoteRef/>
      </w:r>
      <w:r>
        <w:t xml:space="preserve"> </w:t>
      </w:r>
      <w:r>
        <w:rPr>
          <w:lang w:val="en-IE"/>
        </w:rPr>
        <w:t>Student Satisfaction and Engagement Survey (SSES) 2018-19.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0183" w14:textId="21EE865E" w:rsidR="00BB7D1D" w:rsidRDefault="00BB7D1D" w:rsidP="00BB7D1D">
    <w:pPr>
      <w:pStyle w:val="Header"/>
      <w:jc w:val="right"/>
    </w:pPr>
    <w:r>
      <w:rPr>
        <w:noProof/>
      </w:rPr>
      <w:drawing>
        <wp:anchor distT="0" distB="0" distL="114300" distR="114300" simplePos="0" relativeHeight="251658240" behindDoc="0" locked="0" layoutInCell="1" allowOverlap="1" wp14:anchorId="56A58928" wp14:editId="3B3FCF11">
          <wp:simplePos x="0" y="0"/>
          <wp:positionH relativeFrom="column">
            <wp:posOffset>4374515</wp:posOffset>
          </wp:positionH>
          <wp:positionV relativeFrom="paragraph">
            <wp:posOffset>-246927</wp:posOffset>
          </wp:positionV>
          <wp:extent cx="1814503"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503" cy="518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61BE9"/>
    <w:multiLevelType w:val="multilevel"/>
    <w:tmpl w:val="BC78BBF0"/>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19"/>
    <w:rsid w:val="0001541B"/>
    <w:rsid w:val="000468E4"/>
    <w:rsid w:val="00061DFA"/>
    <w:rsid w:val="000762C2"/>
    <w:rsid w:val="000B285B"/>
    <w:rsid w:val="000E131C"/>
    <w:rsid w:val="000E6BC3"/>
    <w:rsid w:val="001054B9"/>
    <w:rsid w:val="00197119"/>
    <w:rsid w:val="001B0393"/>
    <w:rsid w:val="00221705"/>
    <w:rsid w:val="00262AF2"/>
    <w:rsid w:val="002C7575"/>
    <w:rsid w:val="003E376E"/>
    <w:rsid w:val="00415234"/>
    <w:rsid w:val="004845A7"/>
    <w:rsid w:val="005B1195"/>
    <w:rsid w:val="006A6607"/>
    <w:rsid w:val="006D1431"/>
    <w:rsid w:val="007A13C9"/>
    <w:rsid w:val="00907E82"/>
    <w:rsid w:val="00A23CCF"/>
    <w:rsid w:val="00A6435D"/>
    <w:rsid w:val="00A739B3"/>
    <w:rsid w:val="00A933B5"/>
    <w:rsid w:val="00AF3151"/>
    <w:rsid w:val="00B447A6"/>
    <w:rsid w:val="00BB7D1D"/>
    <w:rsid w:val="00CA6A07"/>
    <w:rsid w:val="00CC0131"/>
    <w:rsid w:val="00CE668E"/>
    <w:rsid w:val="00D528C6"/>
    <w:rsid w:val="00D73B9F"/>
    <w:rsid w:val="00ED030F"/>
    <w:rsid w:val="00F170E4"/>
    <w:rsid w:val="00F47EF6"/>
    <w:rsid w:val="00F915B2"/>
    <w:rsid w:val="00FA3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4DE47"/>
  <w15:chartTrackingRefBased/>
  <w15:docId w15:val="{67D7AA18-638B-47FA-980D-121AB7E1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119"/>
    <w:pPr>
      <w:ind w:left="720"/>
      <w:contextualSpacing/>
    </w:pPr>
  </w:style>
  <w:style w:type="paragraph" w:styleId="FootnoteText">
    <w:name w:val="footnote text"/>
    <w:basedOn w:val="Normal"/>
    <w:link w:val="FootnoteTextChar"/>
    <w:uiPriority w:val="99"/>
    <w:semiHidden/>
    <w:unhideWhenUsed/>
    <w:rsid w:val="00F91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5B2"/>
    <w:rPr>
      <w:sz w:val="20"/>
      <w:szCs w:val="20"/>
    </w:rPr>
  </w:style>
  <w:style w:type="character" w:styleId="FootnoteReference">
    <w:name w:val="footnote reference"/>
    <w:basedOn w:val="DefaultParagraphFont"/>
    <w:uiPriority w:val="99"/>
    <w:semiHidden/>
    <w:unhideWhenUsed/>
    <w:rsid w:val="00F915B2"/>
    <w:rPr>
      <w:vertAlign w:val="superscript"/>
    </w:rPr>
  </w:style>
  <w:style w:type="table" w:styleId="TableGrid">
    <w:name w:val="Table Grid"/>
    <w:basedOn w:val="TableNormal"/>
    <w:uiPriority w:val="39"/>
    <w:rsid w:val="004845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4845A7"/>
  </w:style>
  <w:style w:type="paragraph" w:styleId="Header">
    <w:name w:val="header"/>
    <w:basedOn w:val="Normal"/>
    <w:link w:val="HeaderChar"/>
    <w:uiPriority w:val="99"/>
    <w:unhideWhenUsed/>
    <w:rsid w:val="00061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DFA"/>
  </w:style>
  <w:style w:type="paragraph" w:styleId="Footer">
    <w:name w:val="footer"/>
    <w:basedOn w:val="Normal"/>
    <w:link w:val="FooterChar"/>
    <w:uiPriority w:val="99"/>
    <w:unhideWhenUsed/>
    <w:rsid w:val="00061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4060">
      <w:bodyDiv w:val="1"/>
      <w:marLeft w:val="0"/>
      <w:marRight w:val="0"/>
      <w:marTop w:val="0"/>
      <w:marBottom w:val="0"/>
      <w:divBdr>
        <w:top w:val="none" w:sz="0" w:space="0" w:color="auto"/>
        <w:left w:val="none" w:sz="0" w:space="0" w:color="auto"/>
        <w:bottom w:val="none" w:sz="0" w:space="0" w:color="auto"/>
        <w:right w:val="none" w:sz="0" w:space="0" w:color="auto"/>
      </w:divBdr>
    </w:div>
    <w:div w:id="570773185">
      <w:bodyDiv w:val="1"/>
      <w:marLeft w:val="0"/>
      <w:marRight w:val="0"/>
      <w:marTop w:val="0"/>
      <w:marBottom w:val="0"/>
      <w:divBdr>
        <w:top w:val="none" w:sz="0" w:space="0" w:color="auto"/>
        <w:left w:val="none" w:sz="0" w:space="0" w:color="auto"/>
        <w:bottom w:val="none" w:sz="0" w:space="0" w:color="auto"/>
        <w:right w:val="none" w:sz="0" w:space="0" w:color="auto"/>
      </w:divBdr>
    </w:div>
    <w:div w:id="744571294">
      <w:bodyDiv w:val="1"/>
      <w:marLeft w:val="0"/>
      <w:marRight w:val="0"/>
      <w:marTop w:val="0"/>
      <w:marBottom w:val="0"/>
      <w:divBdr>
        <w:top w:val="none" w:sz="0" w:space="0" w:color="auto"/>
        <w:left w:val="none" w:sz="0" w:space="0" w:color="auto"/>
        <w:bottom w:val="none" w:sz="0" w:space="0" w:color="auto"/>
        <w:right w:val="none" w:sz="0" w:space="0" w:color="auto"/>
      </w:divBdr>
    </w:div>
    <w:div w:id="11521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0CFD-3F47-44A6-BFBD-77ACE7A6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Inverness College UHI</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Self-Evaluation Report – 2018/19</dc:title>
  <dc:subject/>
  <dc:creator>Roddy Henry</dc:creator>
  <cp:keywords/>
  <dc:description/>
  <cp:lastModifiedBy>Ann Neilson</cp:lastModifiedBy>
  <cp:revision>3</cp:revision>
  <cp:lastPrinted>2019-10-29T10:44:00Z</cp:lastPrinted>
  <dcterms:created xsi:type="dcterms:W3CDTF">2019-10-29T20:55:00Z</dcterms:created>
  <dcterms:modified xsi:type="dcterms:W3CDTF">2019-11-01T12:17:00Z</dcterms:modified>
</cp:coreProperties>
</file>